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C5CF" w14:textId="77777777" w:rsidR="00676888" w:rsidRPr="005E62D7" w:rsidRDefault="00676888" w:rsidP="005D1C11">
      <w:pPr>
        <w:pStyle w:val="BodyText1"/>
        <w:ind w:left="284" w:right="277"/>
        <w:rPr>
          <w:rFonts w:ascii="Gadugi" w:hAnsi="Gadugi" w:cs="AGaramondPro-Bold"/>
          <w:bCs/>
          <w:color w:val="000000"/>
          <w:sz w:val="22"/>
          <w:szCs w:val="22"/>
        </w:rPr>
        <w:sectPr w:rsidR="00676888" w:rsidRPr="005E62D7" w:rsidSect="005D1C1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905" w:right="703" w:bottom="1134" w:left="567" w:header="709" w:footer="1253" w:gutter="0"/>
          <w:cols w:num="3" w:space="708"/>
          <w:titlePg/>
          <w:docGrid w:linePitch="326"/>
        </w:sectPr>
      </w:pPr>
    </w:p>
    <w:p w14:paraId="161B8F36" w14:textId="77777777" w:rsidR="005D1C11" w:rsidRDefault="005D1C11" w:rsidP="005D1C11">
      <w:pPr>
        <w:pStyle w:val="AGWtitletext"/>
        <w:ind w:left="284" w:right="277"/>
        <w:rPr>
          <w:rFonts w:ascii="Gadugi" w:hAnsi="Gadugi"/>
          <w:sz w:val="22"/>
          <w:szCs w:val="22"/>
        </w:rPr>
      </w:pPr>
    </w:p>
    <w:p w14:paraId="3A51CB81" w14:textId="77777777" w:rsidR="005D1C11" w:rsidRDefault="00C07C69" w:rsidP="005D1C11">
      <w:pPr>
        <w:pStyle w:val="AGWtitle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Call for </w:t>
      </w:r>
      <w:r w:rsidR="001958D8">
        <w:rPr>
          <w:rFonts w:ascii="Gadugi" w:hAnsi="Gadugi"/>
          <w:sz w:val="22"/>
          <w:szCs w:val="22"/>
        </w:rPr>
        <w:t>nominations</w:t>
      </w:r>
      <w:r w:rsidRPr="00C07C69">
        <w:rPr>
          <w:rFonts w:ascii="Gadugi" w:hAnsi="Gadugi"/>
          <w:sz w:val="22"/>
          <w:szCs w:val="22"/>
        </w:rPr>
        <w:t xml:space="preserve"> for the Sustainability Advisory Committee </w:t>
      </w:r>
    </w:p>
    <w:p w14:paraId="6EF8F93D" w14:textId="370D6E77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Australian Grape and Wine is seeking nomination from its members to join the national wine industry Sustainability </w:t>
      </w:r>
      <w:r w:rsidR="00873EFC">
        <w:rPr>
          <w:rFonts w:ascii="Gadugi" w:hAnsi="Gadugi"/>
          <w:sz w:val="22"/>
          <w:szCs w:val="22"/>
        </w:rPr>
        <w:t xml:space="preserve">Strategic </w:t>
      </w:r>
      <w:r w:rsidRPr="00C07C69">
        <w:rPr>
          <w:rFonts w:ascii="Gadugi" w:hAnsi="Gadugi"/>
          <w:sz w:val="22"/>
          <w:szCs w:val="22"/>
        </w:rPr>
        <w:t xml:space="preserve">Advisory Committee (SAC). </w:t>
      </w:r>
    </w:p>
    <w:p w14:paraId="607E9025" w14:textId="77777777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2B6C19">
        <w:rPr>
          <w:rFonts w:ascii="Gadugi" w:hAnsi="Gadugi"/>
          <w:sz w:val="22"/>
          <w:szCs w:val="22"/>
        </w:rPr>
        <w:t xml:space="preserve">The SAC </w:t>
      </w:r>
      <w:r w:rsidR="007F437A">
        <w:rPr>
          <w:rFonts w:ascii="Gadugi" w:hAnsi="Gadugi"/>
          <w:sz w:val="22"/>
          <w:szCs w:val="22"/>
        </w:rPr>
        <w:t>will</w:t>
      </w:r>
      <w:r w:rsidRPr="002B6C19">
        <w:rPr>
          <w:rFonts w:ascii="Gadugi" w:hAnsi="Gadugi"/>
          <w:sz w:val="22"/>
          <w:szCs w:val="22"/>
        </w:rPr>
        <w:t xml:space="preserve"> provide </w:t>
      </w:r>
      <w:r w:rsidR="003A3922" w:rsidRPr="002B6C19">
        <w:rPr>
          <w:rFonts w:ascii="Gadugi" w:hAnsi="Gadugi"/>
          <w:sz w:val="22"/>
          <w:szCs w:val="22"/>
        </w:rPr>
        <w:t>insights and</w:t>
      </w:r>
      <w:r w:rsidRPr="002B6C19">
        <w:rPr>
          <w:rFonts w:ascii="Gadugi" w:hAnsi="Gadugi"/>
          <w:sz w:val="22"/>
          <w:szCs w:val="22"/>
        </w:rPr>
        <w:t xml:space="preserve"> recommendations </w:t>
      </w:r>
      <w:r w:rsidR="003A3922" w:rsidRPr="002B6C19">
        <w:rPr>
          <w:rFonts w:ascii="Gadugi" w:hAnsi="Gadugi"/>
          <w:sz w:val="22"/>
          <w:szCs w:val="22"/>
        </w:rPr>
        <w:t xml:space="preserve">to Australian Grape &amp; Wine </w:t>
      </w:r>
      <w:r w:rsidR="007F437A">
        <w:rPr>
          <w:rFonts w:ascii="Gadugi" w:hAnsi="Gadugi"/>
          <w:sz w:val="22"/>
          <w:szCs w:val="22"/>
        </w:rPr>
        <w:t>on</w:t>
      </w:r>
      <w:r w:rsidRPr="002B6C19">
        <w:rPr>
          <w:rFonts w:ascii="Gadugi" w:hAnsi="Gadugi"/>
          <w:sz w:val="22"/>
          <w:szCs w:val="22"/>
        </w:rPr>
        <w:t xml:space="preserve"> emerging issues </w:t>
      </w:r>
      <w:r w:rsidR="007F437A" w:rsidRPr="007F437A">
        <w:rPr>
          <w:rFonts w:ascii="Gadugi" w:hAnsi="Gadugi"/>
          <w:sz w:val="22"/>
          <w:szCs w:val="22"/>
        </w:rPr>
        <w:t>affecting</w:t>
      </w:r>
      <w:r w:rsidR="007F437A">
        <w:rPr>
          <w:rFonts w:ascii="Gadugi" w:hAnsi="Gadugi"/>
          <w:sz w:val="22"/>
          <w:szCs w:val="22"/>
        </w:rPr>
        <w:t xml:space="preserve"> </w:t>
      </w:r>
      <w:r w:rsidRPr="002B6C19">
        <w:rPr>
          <w:rFonts w:ascii="Gadugi" w:hAnsi="Gadugi"/>
          <w:sz w:val="22"/>
          <w:szCs w:val="22"/>
        </w:rPr>
        <w:t xml:space="preserve">the </w:t>
      </w:r>
      <w:r w:rsidR="003A3922" w:rsidRPr="002B6C19">
        <w:rPr>
          <w:rFonts w:ascii="Gadugi" w:hAnsi="Gadugi"/>
          <w:sz w:val="22"/>
          <w:szCs w:val="22"/>
        </w:rPr>
        <w:t xml:space="preserve">reputation, resilience and </w:t>
      </w:r>
      <w:r w:rsidRPr="002B6C19">
        <w:rPr>
          <w:rFonts w:ascii="Gadugi" w:hAnsi="Gadugi"/>
          <w:sz w:val="22"/>
          <w:szCs w:val="22"/>
        </w:rPr>
        <w:t xml:space="preserve">sustainability of </w:t>
      </w:r>
      <w:r w:rsidR="003A3922" w:rsidRPr="002B6C19">
        <w:rPr>
          <w:rFonts w:ascii="Gadugi" w:hAnsi="Gadugi"/>
          <w:sz w:val="22"/>
          <w:szCs w:val="22"/>
        </w:rPr>
        <w:t xml:space="preserve">Australia’s </w:t>
      </w:r>
      <w:r w:rsidRPr="002B6C19">
        <w:rPr>
          <w:rFonts w:ascii="Gadugi" w:hAnsi="Gadugi"/>
          <w:sz w:val="22"/>
          <w:szCs w:val="22"/>
        </w:rPr>
        <w:t>grape and wine producers</w:t>
      </w:r>
      <w:r w:rsidR="003A3922" w:rsidRPr="002B6C19">
        <w:rPr>
          <w:rFonts w:ascii="Gadugi" w:hAnsi="Gadugi"/>
          <w:sz w:val="22"/>
          <w:szCs w:val="22"/>
        </w:rPr>
        <w:t xml:space="preserve">. Recommendations will be used to guide advocacy </w:t>
      </w:r>
      <w:r w:rsidR="007F437A">
        <w:rPr>
          <w:rFonts w:ascii="Gadugi" w:hAnsi="Gadugi"/>
          <w:sz w:val="22"/>
          <w:szCs w:val="22"/>
        </w:rPr>
        <w:t>in</w:t>
      </w:r>
      <w:r w:rsidR="003A3922" w:rsidRPr="002B6C19">
        <w:rPr>
          <w:rFonts w:ascii="Gadugi" w:hAnsi="Gadugi"/>
          <w:sz w:val="22"/>
          <w:szCs w:val="22"/>
        </w:rPr>
        <w:t xml:space="preserve"> the political and regulatory environment.</w:t>
      </w:r>
      <w:r w:rsidR="003A3922">
        <w:rPr>
          <w:rFonts w:ascii="Gadugi" w:hAnsi="Gadugi"/>
          <w:sz w:val="22"/>
          <w:szCs w:val="22"/>
        </w:rPr>
        <w:t xml:space="preserve">  </w:t>
      </w:r>
    </w:p>
    <w:p w14:paraId="726CC65C" w14:textId="76EBFA38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The</w:t>
      </w:r>
      <w:r w:rsidR="003C7BA1">
        <w:rPr>
          <w:rFonts w:ascii="Gadugi" w:hAnsi="Gadugi"/>
          <w:sz w:val="22"/>
          <w:szCs w:val="22"/>
        </w:rPr>
        <w:t xml:space="preserve"> SAC will also provide advice </w:t>
      </w:r>
      <w:r w:rsidR="007F437A">
        <w:rPr>
          <w:rFonts w:ascii="Gadugi" w:hAnsi="Gadugi"/>
          <w:sz w:val="22"/>
          <w:szCs w:val="22"/>
        </w:rPr>
        <w:t xml:space="preserve">to AWRI, Wine Australia and Australian Grape &amp; Wine </w:t>
      </w:r>
      <w:r w:rsidR="00170087">
        <w:rPr>
          <w:rFonts w:ascii="Gadugi" w:hAnsi="Gadugi"/>
          <w:sz w:val="22"/>
          <w:szCs w:val="22"/>
        </w:rPr>
        <w:t xml:space="preserve">regarding </w:t>
      </w:r>
      <w:r w:rsidRPr="00C07C69">
        <w:rPr>
          <w:rFonts w:ascii="Gadugi" w:hAnsi="Gadugi"/>
          <w:sz w:val="22"/>
          <w:szCs w:val="22"/>
        </w:rPr>
        <w:t xml:space="preserve">Australia’s </w:t>
      </w:r>
      <w:r w:rsidR="00873EFC">
        <w:rPr>
          <w:rFonts w:ascii="Gadugi" w:hAnsi="Gadugi"/>
          <w:sz w:val="22"/>
          <w:szCs w:val="22"/>
        </w:rPr>
        <w:t>national sustainability</w:t>
      </w:r>
      <w:r w:rsidRPr="00C07C69">
        <w:rPr>
          <w:rFonts w:ascii="Gadugi" w:hAnsi="Gadugi"/>
          <w:sz w:val="22"/>
          <w:szCs w:val="22"/>
        </w:rPr>
        <w:t xml:space="preserve"> program, Sustainable Winegrowing Australia. </w:t>
      </w:r>
    </w:p>
    <w:p w14:paraId="5202BF57" w14:textId="77777777" w:rsidR="00C07C69" w:rsidRPr="00C07C69" w:rsidRDefault="00C07C69" w:rsidP="00C07C69">
      <w:pPr>
        <w:pStyle w:val="AGWtitle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Responsibilities of the Committee </w:t>
      </w:r>
    </w:p>
    <w:p w14:paraId="4E7359A0" w14:textId="26996BA3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The SAC will meet </w:t>
      </w:r>
      <w:r w:rsidR="00873EFC">
        <w:rPr>
          <w:rFonts w:ascii="Gadugi" w:hAnsi="Gadugi"/>
          <w:sz w:val="22"/>
          <w:szCs w:val="22"/>
        </w:rPr>
        <w:t>four times</w:t>
      </w:r>
      <w:r w:rsidRPr="00C07C69">
        <w:rPr>
          <w:rFonts w:ascii="Gadugi" w:hAnsi="Gadugi"/>
          <w:sz w:val="22"/>
          <w:szCs w:val="22"/>
        </w:rPr>
        <w:t xml:space="preserve"> per year. Additional meetings may be convened as required. Meetings will be held as face to face meetings </w:t>
      </w:r>
      <w:r w:rsidR="00873EFC">
        <w:rPr>
          <w:rFonts w:ascii="Gadugi" w:hAnsi="Gadugi"/>
          <w:sz w:val="22"/>
          <w:szCs w:val="22"/>
        </w:rPr>
        <w:t>with the option to attend via video link</w:t>
      </w:r>
      <w:r w:rsidRPr="00C07C69">
        <w:rPr>
          <w:rFonts w:ascii="Gadugi" w:hAnsi="Gadugi"/>
          <w:sz w:val="22"/>
          <w:szCs w:val="22"/>
        </w:rPr>
        <w:t xml:space="preserve">. </w:t>
      </w:r>
    </w:p>
    <w:p w14:paraId="3A4233FB" w14:textId="77777777" w:rsidR="00C07C69" w:rsidRPr="00C07C69" w:rsidRDefault="00C07C69" w:rsidP="00C07C69">
      <w:pPr>
        <w:pStyle w:val="AGWbodytext"/>
        <w:numPr>
          <w:ilvl w:val="0"/>
          <w:numId w:val="1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Members will be appointed for a 2-year term with an opportunity to extend by mutual agreement;</w:t>
      </w:r>
    </w:p>
    <w:p w14:paraId="18D0EA65" w14:textId="77777777" w:rsidR="00C07C69" w:rsidRPr="00C07C69" w:rsidRDefault="00C07C69" w:rsidP="00C07C69">
      <w:pPr>
        <w:pStyle w:val="AGWbodytext"/>
        <w:numPr>
          <w:ilvl w:val="0"/>
          <w:numId w:val="1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SAC members will be responsible for their own travel and accommodation if required;</w:t>
      </w:r>
    </w:p>
    <w:p w14:paraId="21BCDFBD" w14:textId="77777777" w:rsidR="00C07C69" w:rsidRPr="00C07C69" w:rsidRDefault="00C07C69" w:rsidP="00C07C69">
      <w:pPr>
        <w:pStyle w:val="AGWbodytext"/>
        <w:numPr>
          <w:ilvl w:val="0"/>
          <w:numId w:val="1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SAC recommendations will not supplant the policies of the respective SAC member organisations;</w:t>
      </w:r>
    </w:p>
    <w:p w14:paraId="65E00E3B" w14:textId="77777777" w:rsidR="00C07C69" w:rsidRPr="00C07C69" w:rsidRDefault="00C07C69" w:rsidP="00C07C69">
      <w:pPr>
        <w:pStyle w:val="AGWbodytext"/>
        <w:numPr>
          <w:ilvl w:val="0"/>
          <w:numId w:val="1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All advice provided to Australian Grape and Wine and the Sustainable Winegrowing Australia steering committee will be non-binding. </w:t>
      </w:r>
    </w:p>
    <w:p w14:paraId="5F8ECC97" w14:textId="77777777" w:rsidR="00C07C69" w:rsidRDefault="00C07C69" w:rsidP="00C07C69">
      <w:pPr>
        <w:pStyle w:val="AGWtitletext"/>
        <w:spacing w:after="0"/>
        <w:ind w:left="284" w:right="277"/>
        <w:rPr>
          <w:rFonts w:ascii="Gadugi" w:hAnsi="Gadugi"/>
          <w:sz w:val="22"/>
          <w:szCs w:val="22"/>
        </w:rPr>
      </w:pPr>
    </w:p>
    <w:p w14:paraId="044BB0EC" w14:textId="77777777" w:rsidR="00C07C69" w:rsidRPr="00C07C69" w:rsidRDefault="00C07C69" w:rsidP="00C07C69">
      <w:pPr>
        <w:pStyle w:val="AGWtitletext"/>
        <w:ind w:left="284" w:right="277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How to</w:t>
      </w:r>
      <w:r w:rsidRPr="00C07C69">
        <w:rPr>
          <w:rFonts w:ascii="Gadugi" w:hAnsi="Gadugi"/>
          <w:sz w:val="22"/>
          <w:szCs w:val="22"/>
        </w:rPr>
        <w:t xml:space="preserve"> Apply</w:t>
      </w:r>
    </w:p>
    <w:p w14:paraId="66CF0F12" w14:textId="77777777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Please send </w:t>
      </w:r>
      <w:r w:rsidR="002B6C19">
        <w:rPr>
          <w:rFonts w:ascii="Gadugi" w:hAnsi="Gadugi"/>
          <w:sz w:val="22"/>
          <w:szCs w:val="22"/>
        </w:rPr>
        <w:t>a one page summary</w:t>
      </w:r>
      <w:r w:rsidRPr="00C07C69">
        <w:rPr>
          <w:rFonts w:ascii="Gadugi" w:hAnsi="Gadugi"/>
          <w:sz w:val="22"/>
          <w:szCs w:val="22"/>
        </w:rPr>
        <w:t xml:space="preserve"> outlining your </w:t>
      </w:r>
      <w:r w:rsidR="00FD3B2D">
        <w:rPr>
          <w:rFonts w:ascii="Gadugi" w:hAnsi="Gadugi"/>
          <w:sz w:val="22"/>
          <w:szCs w:val="22"/>
        </w:rPr>
        <w:t xml:space="preserve">current </w:t>
      </w:r>
      <w:r w:rsidR="00647473">
        <w:rPr>
          <w:rFonts w:ascii="Gadugi" w:hAnsi="Gadugi"/>
          <w:sz w:val="22"/>
          <w:szCs w:val="22"/>
        </w:rPr>
        <w:t>role</w:t>
      </w:r>
      <w:r w:rsidR="00FD3B2D">
        <w:rPr>
          <w:rFonts w:ascii="Gadugi" w:hAnsi="Gadugi"/>
          <w:sz w:val="22"/>
          <w:szCs w:val="22"/>
        </w:rPr>
        <w:t xml:space="preserve">, your </w:t>
      </w:r>
      <w:r w:rsidRPr="00C07C69">
        <w:rPr>
          <w:rFonts w:ascii="Gadugi" w:hAnsi="Gadugi"/>
          <w:sz w:val="22"/>
          <w:szCs w:val="22"/>
        </w:rPr>
        <w:t>interes</w:t>
      </w:r>
      <w:r w:rsidR="00647473">
        <w:rPr>
          <w:rFonts w:ascii="Gadugi" w:hAnsi="Gadugi"/>
          <w:sz w:val="22"/>
          <w:szCs w:val="22"/>
        </w:rPr>
        <w:t>t in joining the committee and</w:t>
      </w:r>
      <w:r w:rsidRPr="00C07C69">
        <w:rPr>
          <w:rFonts w:ascii="Gadugi" w:hAnsi="Gadugi"/>
          <w:sz w:val="22"/>
          <w:szCs w:val="22"/>
        </w:rPr>
        <w:t xml:space="preserve"> your skills and experiences in at least two of the following areas:</w:t>
      </w:r>
    </w:p>
    <w:p w14:paraId="30820E5D" w14:textId="77777777" w:rsidR="00C07C69" w:rsidRP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environmental assurance schemes;</w:t>
      </w:r>
    </w:p>
    <w:p w14:paraId="086DE40C" w14:textId="77777777" w:rsidR="00C07C69" w:rsidRP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winegrape growing; </w:t>
      </w:r>
    </w:p>
    <w:p w14:paraId="7AD2672A" w14:textId="77777777" w:rsidR="00C07C69" w:rsidRP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winemaking;</w:t>
      </w:r>
    </w:p>
    <w:p w14:paraId="74CCA90C" w14:textId="77777777" w:rsidR="00C07C69" w:rsidRP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the wine supply chain;</w:t>
      </w:r>
    </w:p>
    <w:p w14:paraId="6A7E15B0" w14:textId="42F20D27" w:rsidR="00C07C69" w:rsidRP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sustainable </w:t>
      </w:r>
      <w:r w:rsidR="003A4F7F">
        <w:rPr>
          <w:rFonts w:ascii="Gadugi" w:hAnsi="Gadugi"/>
          <w:sz w:val="22"/>
          <w:szCs w:val="22"/>
        </w:rPr>
        <w:t>agriculture</w:t>
      </w:r>
      <w:r w:rsidRPr="00C07C69">
        <w:rPr>
          <w:rFonts w:ascii="Gadugi" w:hAnsi="Gadugi"/>
          <w:sz w:val="22"/>
          <w:szCs w:val="22"/>
        </w:rPr>
        <w:t xml:space="preserve">; </w:t>
      </w:r>
    </w:p>
    <w:p w14:paraId="3E6E91E1" w14:textId="77777777" w:rsidR="00C07C69" w:rsidRP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waste management; </w:t>
      </w:r>
    </w:p>
    <w:p w14:paraId="32DF2733" w14:textId="48354CA4" w:rsid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climate change mitigation and adaption;</w:t>
      </w:r>
    </w:p>
    <w:p w14:paraId="3FCA1422" w14:textId="774DB5C8" w:rsidR="003A4F7F" w:rsidRDefault="003A4F7F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stakeholder engagement;</w:t>
      </w:r>
    </w:p>
    <w:p w14:paraId="0E090F9A" w14:textId="2BF9611F" w:rsidR="003A4F7F" w:rsidRPr="00C07C69" w:rsidRDefault="003A4F7F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domestic and global markets for sustainable products;</w:t>
      </w:r>
    </w:p>
    <w:p w14:paraId="35EFADCA" w14:textId="77777777" w:rsidR="00C07C69" w:rsidRDefault="00C07C69" w:rsidP="00C07C69">
      <w:pPr>
        <w:pStyle w:val="AGWbodytext"/>
        <w:numPr>
          <w:ilvl w:val="0"/>
          <w:numId w:val="3"/>
        </w:numPr>
        <w:spacing w:after="0"/>
        <w:ind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>environmental regulation and policy.</w:t>
      </w:r>
    </w:p>
    <w:p w14:paraId="46EAE531" w14:textId="77777777" w:rsidR="00C07C69" w:rsidRPr="00C07C69" w:rsidRDefault="00C07C69" w:rsidP="00C07C69">
      <w:pPr>
        <w:pStyle w:val="AGWbodytext"/>
        <w:spacing w:after="0"/>
        <w:ind w:left="644" w:right="277"/>
        <w:rPr>
          <w:rFonts w:ascii="Gadugi" w:hAnsi="Gadugi"/>
          <w:sz w:val="22"/>
          <w:szCs w:val="22"/>
        </w:rPr>
      </w:pPr>
    </w:p>
    <w:p w14:paraId="3C67553A" w14:textId="6BD04B77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Nominations should be sent to </w:t>
      </w:r>
      <w:hyperlink r:id="rId13" w:history="1">
        <w:r w:rsidR="0071543D" w:rsidRPr="00D26551">
          <w:rPr>
            <w:rStyle w:val="Hyperlink"/>
            <w:rFonts w:ascii="Gadugi" w:hAnsi="Gadugi"/>
            <w:sz w:val="22"/>
            <w:szCs w:val="22"/>
          </w:rPr>
          <w:t>anna@agw.org.au</w:t>
        </w:r>
      </w:hyperlink>
      <w:r w:rsidR="0071543D">
        <w:rPr>
          <w:rFonts w:ascii="Gadugi" w:hAnsi="Gadugi"/>
          <w:sz w:val="22"/>
          <w:szCs w:val="22"/>
        </w:rPr>
        <w:t xml:space="preserve"> b</w:t>
      </w:r>
      <w:r w:rsidR="005B618F">
        <w:rPr>
          <w:rFonts w:ascii="Gadugi" w:hAnsi="Gadugi"/>
          <w:sz w:val="22"/>
          <w:szCs w:val="22"/>
        </w:rPr>
        <w:t>and will be accepted until</w:t>
      </w:r>
      <w:r w:rsidR="0071543D">
        <w:rPr>
          <w:rFonts w:ascii="Gadugi" w:hAnsi="Gadugi"/>
          <w:sz w:val="22"/>
          <w:szCs w:val="22"/>
        </w:rPr>
        <w:t xml:space="preserve"> </w:t>
      </w:r>
      <w:r w:rsidR="005B618F">
        <w:rPr>
          <w:rFonts w:ascii="Gadugi" w:hAnsi="Gadugi"/>
          <w:sz w:val="22"/>
          <w:szCs w:val="22"/>
        </w:rPr>
        <w:t>6</w:t>
      </w:r>
      <w:r w:rsidR="005B618F" w:rsidRPr="005B618F">
        <w:rPr>
          <w:rFonts w:ascii="Gadugi" w:hAnsi="Gadugi"/>
          <w:sz w:val="22"/>
          <w:szCs w:val="22"/>
          <w:vertAlign w:val="superscript"/>
        </w:rPr>
        <w:t>th</w:t>
      </w:r>
      <w:r w:rsidR="005B618F">
        <w:rPr>
          <w:rFonts w:ascii="Gadugi" w:hAnsi="Gadugi"/>
          <w:sz w:val="22"/>
          <w:szCs w:val="22"/>
        </w:rPr>
        <w:t xml:space="preserve"> August</w:t>
      </w:r>
      <w:r w:rsidR="003A4F7F">
        <w:rPr>
          <w:rFonts w:ascii="Gadugi" w:hAnsi="Gadugi"/>
          <w:sz w:val="22"/>
          <w:szCs w:val="22"/>
        </w:rPr>
        <w:t xml:space="preserve"> 2021 for a term commencing 1</w:t>
      </w:r>
      <w:r w:rsidR="003A4F7F" w:rsidRPr="003A4F7F">
        <w:rPr>
          <w:rFonts w:ascii="Gadugi" w:hAnsi="Gadugi"/>
          <w:sz w:val="22"/>
          <w:szCs w:val="22"/>
          <w:vertAlign w:val="superscript"/>
        </w:rPr>
        <w:t>st</w:t>
      </w:r>
      <w:r w:rsidR="003A4F7F">
        <w:rPr>
          <w:rFonts w:ascii="Gadugi" w:hAnsi="Gadugi"/>
          <w:sz w:val="22"/>
          <w:szCs w:val="22"/>
        </w:rPr>
        <w:t xml:space="preserve">  September 2021.</w:t>
      </w:r>
    </w:p>
    <w:p w14:paraId="633D7666" w14:textId="77777777" w:rsidR="00C07C69" w:rsidRPr="00C07C69" w:rsidRDefault="00C07C69" w:rsidP="00C07C69">
      <w:pPr>
        <w:pStyle w:val="AGWbodytext"/>
        <w:ind w:left="284" w:right="277"/>
        <w:rPr>
          <w:rFonts w:ascii="Gadugi" w:hAnsi="Gadugi"/>
          <w:sz w:val="22"/>
          <w:szCs w:val="22"/>
        </w:rPr>
      </w:pPr>
      <w:r w:rsidRPr="00C07C69">
        <w:rPr>
          <w:rFonts w:ascii="Gadugi" w:hAnsi="Gadugi"/>
          <w:sz w:val="22"/>
          <w:szCs w:val="22"/>
        </w:rPr>
        <w:t xml:space="preserve">Australian Grape &amp; Wine membership Committee selection reflects its commitment to, and compliance with, the principles outlined in its Diversity and Equality in Wine Charter. </w:t>
      </w:r>
    </w:p>
    <w:p w14:paraId="47F40936" w14:textId="77777777" w:rsidR="00676888" w:rsidRPr="005E62D7" w:rsidRDefault="00676888" w:rsidP="005D1C11">
      <w:pPr>
        <w:pStyle w:val="AGWbodytext"/>
        <w:ind w:left="284" w:right="277"/>
        <w:rPr>
          <w:rFonts w:ascii="Gadugi" w:hAnsi="Gadugi"/>
          <w:sz w:val="22"/>
          <w:szCs w:val="22"/>
        </w:rPr>
      </w:pPr>
    </w:p>
    <w:sectPr w:rsidR="00676888" w:rsidRPr="005E62D7" w:rsidSect="00E10AAF">
      <w:headerReference w:type="first" r:id="rId14"/>
      <w:type w:val="continuous"/>
      <w:pgSz w:w="11900" w:h="16840"/>
      <w:pgMar w:top="1905" w:right="703" w:bottom="1440" w:left="714" w:header="709" w:footer="1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B680" w14:textId="77777777" w:rsidR="004D101A" w:rsidRDefault="004D101A">
      <w:r>
        <w:separator/>
      </w:r>
    </w:p>
  </w:endnote>
  <w:endnote w:type="continuationSeparator" w:id="0">
    <w:p w14:paraId="46092E24" w14:textId="77777777" w:rsidR="004D101A" w:rsidRDefault="004D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emb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ontserra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Garamon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52438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E9D867" w14:textId="77777777" w:rsidR="00E33CAB" w:rsidRDefault="00E33CAB" w:rsidP="004723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1FB51F" w14:textId="77777777" w:rsidR="00E33CAB" w:rsidRDefault="00E33CAB" w:rsidP="00E33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0169" w14:textId="77777777" w:rsidR="004655B6" w:rsidRDefault="002276D3" w:rsidP="00E33CAB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7424" behindDoc="1" locked="0" layoutInCell="1" allowOverlap="1" wp14:anchorId="64C27FC8" wp14:editId="14AD03F6">
          <wp:simplePos x="0" y="0"/>
          <wp:positionH relativeFrom="page">
            <wp:posOffset>0</wp:posOffset>
          </wp:positionH>
          <wp:positionV relativeFrom="page">
            <wp:posOffset>9960922</wp:posOffset>
          </wp:positionV>
          <wp:extent cx="7498080" cy="729938"/>
          <wp:effectExtent l="0" t="0" r="0" b="0"/>
          <wp:wrapNone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62" cy="73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EEAB" w14:textId="77777777" w:rsidR="00676888" w:rsidRDefault="009567AA" w:rsidP="00A94498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9472" behindDoc="1" locked="0" layoutInCell="1" allowOverlap="1" wp14:anchorId="258EB637" wp14:editId="6EF13298">
          <wp:simplePos x="0" y="0"/>
          <wp:positionH relativeFrom="page">
            <wp:posOffset>19685</wp:posOffset>
          </wp:positionH>
          <wp:positionV relativeFrom="page">
            <wp:posOffset>10096500</wp:posOffset>
          </wp:positionV>
          <wp:extent cx="7498080" cy="729938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5B19" w14:textId="77777777" w:rsidR="004D101A" w:rsidRDefault="004D101A">
      <w:r>
        <w:separator/>
      </w:r>
    </w:p>
  </w:footnote>
  <w:footnote w:type="continuationSeparator" w:id="0">
    <w:p w14:paraId="31D46BAB" w14:textId="77777777" w:rsidR="004D101A" w:rsidRDefault="004D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4893" w14:textId="77777777" w:rsidR="00676888" w:rsidRDefault="00116FA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4352" behindDoc="1" locked="0" layoutInCell="1" allowOverlap="1" wp14:anchorId="1549FC63" wp14:editId="52641690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59CE" w14:textId="77777777" w:rsidR="00676888" w:rsidRDefault="002276D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6400" behindDoc="1" locked="0" layoutInCell="1" allowOverlap="1" wp14:anchorId="4C7DA1D9" wp14:editId="0AB6E57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6495" cy="982155"/>
          <wp:effectExtent l="0" t="0" r="1905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V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0" cy="9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93AF" w14:textId="77777777" w:rsidR="00BC6F3B" w:rsidRDefault="00F9122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362EF086" wp14:editId="41CE0F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980751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13" cy="100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C20"/>
    <w:multiLevelType w:val="hybridMultilevel"/>
    <w:tmpl w:val="7BF6F25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D367B"/>
    <w:multiLevelType w:val="hybridMultilevel"/>
    <w:tmpl w:val="9684E86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1C01926"/>
    <w:multiLevelType w:val="hybridMultilevel"/>
    <w:tmpl w:val="5D54DFF0"/>
    <w:lvl w:ilvl="0" w:tplc="1BFAC294">
      <w:numFmt w:val="bullet"/>
      <w:lvlText w:val="•"/>
      <w:lvlJc w:val="left"/>
      <w:pPr>
        <w:ind w:left="724" w:hanging="440"/>
      </w:pPr>
      <w:rPr>
        <w:rFonts w:ascii="Gadugi" w:eastAsia="Cambria" w:hAnsi="Gadugi" w:cs="AGaramondPro-Regular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E567B97"/>
    <w:multiLevelType w:val="hybridMultilevel"/>
    <w:tmpl w:val="E1202790"/>
    <w:lvl w:ilvl="0" w:tplc="5B4606B6">
      <w:numFmt w:val="bullet"/>
      <w:lvlText w:val="•"/>
      <w:lvlJc w:val="left"/>
      <w:pPr>
        <w:ind w:left="724" w:hanging="440"/>
      </w:pPr>
      <w:rPr>
        <w:rFonts w:ascii="Gadugi" w:eastAsia="Cambria" w:hAnsi="Gadugi" w:cs="AGaramondPro-Regular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5C"/>
    <w:rsid w:val="00065A4F"/>
    <w:rsid w:val="00077982"/>
    <w:rsid w:val="0009665C"/>
    <w:rsid w:val="000D6023"/>
    <w:rsid w:val="00116FAB"/>
    <w:rsid w:val="00170087"/>
    <w:rsid w:val="001958D8"/>
    <w:rsid w:val="001B6124"/>
    <w:rsid w:val="002276D3"/>
    <w:rsid w:val="002B6C19"/>
    <w:rsid w:val="002E3ADC"/>
    <w:rsid w:val="003A3922"/>
    <w:rsid w:val="003A4F7F"/>
    <w:rsid w:val="003C7BA1"/>
    <w:rsid w:val="00413945"/>
    <w:rsid w:val="00450E57"/>
    <w:rsid w:val="004655B6"/>
    <w:rsid w:val="004855B2"/>
    <w:rsid w:val="004D101A"/>
    <w:rsid w:val="00590B98"/>
    <w:rsid w:val="005B618F"/>
    <w:rsid w:val="005C31B0"/>
    <w:rsid w:val="005D1C11"/>
    <w:rsid w:val="005E62D7"/>
    <w:rsid w:val="00647473"/>
    <w:rsid w:val="00676888"/>
    <w:rsid w:val="00706E55"/>
    <w:rsid w:val="0071543D"/>
    <w:rsid w:val="0073222E"/>
    <w:rsid w:val="007E52F2"/>
    <w:rsid w:val="007F437A"/>
    <w:rsid w:val="00821B65"/>
    <w:rsid w:val="00834CC5"/>
    <w:rsid w:val="00873EFC"/>
    <w:rsid w:val="009567AA"/>
    <w:rsid w:val="00986984"/>
    <w:rsid w:val="00A01CFF"/>
    <w:rsid w:val="00A94498"/>
    <w:rsid w:val="00A96F19"/>
    <w:rsid w:val="00AE7613"/>
    <w:rsid w:val="00AF2AD9"/>
    <w:rsid w:val="00B3225C"/>
    <w:rsid w:val="00B770B8"/>
    <w:rsid w:val="00BC6F3B"/>
    <w:rsid w:val="00C03AEE"/>
    <w:rsid w:val="00C07C69"/>
    <w:rsid w:val="00C1239C"/>
    <w:rsid w:val="00C67944"/>
    <w:rsid w:val="00D06A71"/>
    <w:rsid w:val="00DB6DE2"/>
    <w:rsid w:val="00E10AAF"/>
    <w:rsid w:val="00E33CAB"/>
    <w:rsid w:val="00E378FD"/>
    <w:rsid w:val="00E419A1"/>
    <w:rsid w:val="00E5686C"/>
    <w:rsid w:val="00E65CAC"/>
    <w:rsid w:val="00EF016D"/>
    <w:rsid w:val="00F04F87"/>
    <w:rsid w:val="00F7153B"/>
    <w:rsid w:val="00F9122B"/>
    <w:rsid w:val="00F97C79"/>
    <w:rsid w:val="00FC2A8D"/>
    <w:rsid w:val="00FD3B2D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AFA2A"/>
  <w15:chartTrackingRefBased/>
  <w15:docId w15:val="{414EA460-5E32-CA48-A1F0-638BA59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6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65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65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9665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9665C"/>
    <w:rPr>
      <w:rFonts w:ascii="Calibri" w:eastAsia="Times New Roman" w:hAnsi="Calibri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09665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odyText1">
    <w:name w:val="Body Text1"/>
    <w:basedOn w:val="Normal"/>
    <w:uiPriority w:val="99"/>
    <w:rsid w:val="0009665C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Bembo" w:hAnsi="MBembo" w:cs="MBembo"/>
      <w:color w:val="5C113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5C"/>
  </w:style>
  <w:style w:type="paragraph" w:styleId="Footer">
    <w:name w:val="footer"/>
    <w:basedOn w:val="Normal"/>
    <w:link w:val="Foot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5C"/>
  </w:style>
  <w:style w:type="paragraph" w:customStyle="1" w:styleId="BasicParagraph">
    <w:name w:val="[Basic Paragraph]"/>
    <w:basedOn w:val="Normal"/>
    <w:uiPriority w:val="99"/>
    <w:rsid w:val="0024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94498"/>
  </w:style>
  <w:style w:type="paragraph" w:styleId="NormalWeb">
    <w:name w:val="Normal (Web)"/>
    <w:basedOn w:val="Normal"/>
    <w:uiPriority w:val="99"/>
    <w:semiHidden/>
    <w:unhideWhenUsed/>
    <w:rsid w:val="00AF2AD9"/>
    <w:pPr>
      <w:spacing w:before="100" w:beforeAutospacing="1" w:after="100" w:afterAutospacing="1"/>
    </w:pPr>
    <w:rPr>
      <w:rFonts w:ascii="Times New Roman" w:eastAsiaTheme="minorEastAsia" w:hAnsi="Times New Roman"/>
      <w:lang w:val="en-AU"/>
    </w:rPr>
  </w:style>
  <w:style w:type="paragraph" w:customStyle="1" w:styleId="AGWtitletext">
    <w:name w:val="AGW title text"/>
    <w:basedOn w:val="BodyText1"/>
    <w:qFormat/>
    <w:rsid w:val="00F7153B"/>
    <w:pPr>
      <w:spacing w:after="120"/>
    </w:pPr>
    <w:rPr>
      <w:rFonts w:ascii="Montserrat" w:hAnsi="Montserrat" w:cs="AGaramondPro-Bold"/>
      <w:b/>
      <w:bCs/>
      <w:color w:val="8DC63F"/>
      <w:sz w:val="40"/>
      <w:szCs w:val="18"/>
    </w:rPr>
  </w:style>
  <w:style w:type="paragraph" w:customStyle="1" w:styleId="AGWbodytext">
    <w:name w:val="AGW body text"/>
    <w:basedOn w:val="BodyText1"/>
    <w:qFormat/>
    <w:rsid w:val="00FC2A8D"/>
    <w:pPr>
      <w:spacing w:after="120"/>
    </w:pPr>
    <w:rPr>
      <w:rFonts w:ascii="Montserrat Light" w:hAnsi="Montserrat Light" w:cs="AGaramondPro-Regular"/>
      <w:color w:val="000000"/>
      <w:sz w:val="21"/>
      <w:szCs w:val="18"/>
    </w:rPr>
  </w:style>
  <w:style w:type="paragraph" w:customStyle="1" w:styleId="Subtext">
    <w:name w:val="Sub text"/>
    <w:basedOn w:val="AGWbodytext"/>
    <w:qFormat/>
    <w:rsid w:val="00FC2A8D"/>
    <w:rPr>
      <w:rFonts w:ascii="Montserrat" w:hAnsi="Montserrat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7A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15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nna@agw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49DB-EB97-4E6F-9054-ABC3C0F3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EnvyUs Design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Green</dc:creator>
  <cp:keywords/>
  <cp:lastModifiedBy>Anna Hooper</cp:lastModifiedBy>
  <cp:revision>5</cp:revision>
  <dcterms:created xsi:type="dcterms:W3CDTF">2021-05-27T03:50:00Z</dcterms:created>
  <dcterms:modified xsi:type="dcterms:W3CDTF">2021-07-29T07:26:00Z</dcterms:modified>
</cp:coreProperties>
</file>