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F84E6" w14:textId="77777777" w:rsidR="0064042D" w:rsidRDefault="0064042D" w:rsidP="0064042D">
      <w:pPr>
        <w:pStyle w:val="Header"/>
      </w:pPr>
      <w:bookmarkStart w:id="0" w:name="_Toc45188179"/>
      <w:bookmarkStart w:id="1" w:name="_Toc45188699"/>
      <w:bookmarkStart w:id="2" w:name="_Toc47616169"/>
      <w:r>
        <w:rPr>
          <w:noProof/>
        </w:rPr>
        <w:drawing>
          <wp:anchor distT="0" distB="0" distL="114300" distR="114300" simplePos="0" relativeHeight="251659264" behindDoc="1" locked="0" layoutInCell="1" allowOverlap="1" wp14:anchorId="175A56C8" wp14:editId="7FBFE75B">
            <wp:simplePos x="0" y="0"/>
            <wp:positionH relativeFrom="page">
              <wp:posOffset>32385</wp:posOffset>
            </wp:positionH>
            <wp:positionV relativeFrom="page">
              <wp:posOffset>20955</wp:posOffset>
            </wp:positionV>
            <wp:extent cx="7552800" cy="979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W_WC-report-inner-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2800" cy="979200"/>
                    </a:xfrm>
                    <a:prstGeom prst="rect">
                      <a:avLst/>
                    </a:prstGeom>
                  </pic:spPr>
                </pic:pic>
              </a:graphicData>
            </a:graphic>
            <wp14:sizeRelH relativeFrom="margin">
              <wp14:pctWidth>0</wp14:pctWidth>
            </wp14:sizeRelH>
            <wp14:sizeRelV relativeFrom="margin">
              <wp14:pctHeight>0</wp14:pctHeight>
            </wp14:sizeRelV>
          </wp:anchor>
        </w:drawing>
      </w:r>
    </w:p>
    <w:p w14:paraId="47D93473" w14:textId="77777777" w:rsidR="0064042D" w:rsidRPr="003517EA" w:rsidRDefault="0064042D" w:rsidP="0064042D">
      <w:pPr>
        <w:pStyle w:val="Heading1"/>
        <w:numPr>
          <w:ilvl w:val="0"/>
          <w:numId w:val="0"/>
        </w:numPr>
        <w:spacing w:before="0"/>
        <w:ind w:left="-709" w:right="-709"/>
        <w:rPr>
          <w:rFonts w:ascii="Gadugi" w:hAnsi="Gadugi"/>
        </w:rPr>
      </w:pPr>
      <w:r w:rsidRPr="003517EA">
        <w:rPr>
          <w:rFonts w:ascii="Gadugi" w:hAnsi="Gadugi"/>
        </w:rPr>
        <w:t xml:space="preserve">Appendix 1: </w:t>
      </w:r>
      <w:bookmarkEnd w:id="0"/>
      <w:bookmarkEnd w:id="1"/>
      <w:r w:rsidRPr="003517EA">
        <w:rPr>
          <w:rFonts w:ascii="Gadugi" w:hAnsi="Gadugi"/>
        </w:rPr>
        <w:t>Independent Expert Determination</w:t>
      </w:r>
      <w:bookmarkEnd w:id="2"/>
    </w:p>
    <w:p w14:paraId="72BDFFFC" w14:textId="77777777" w:rsidR="0064042D" w:rsidRDefault="0064042D" w:rsidP="0064042D">
      <w:pPr>
        <w:ind w:left="-709" w:right="-426"/>
        <w:rPr>
          <w:rFonts w:ascii="Gadugi" w:hAnsi="Gadugi"/>
        </w:rPr>
      </w:pPr>
    </w:p>
    <w:tbl>
      <w:tblPr>
        <w:tblStyle w:val="TableGrid"/>
        <w:tblW w:w="9640" w:type="dxa"/>
        <w:jc w:val="center"/>
        <w:tblLook w:val="04A0" w:firstRow="1" w:lastRow="0" w:firstColumn="1" w:lastColumn="0" w:noHBand="0" w:noVBand="1"/>
      </w:tblPr>
      <w:tblGrid>
        <w:gridCol w:w="913"/>
        <w:gridCol w:w="5859"/>
        <w:gridCol w:w="1308"/>
        <w:gridCol w:w="1560"/>
      </w:tblGrid>
      <w:tr w:rsidR="0064042D" w:rsidRPr="001764D1" w14:paraId="314C76D1" w14:textId="77777777" w:rsidTr="00AB5795">
        <w:trPr>
          <w:jc w:val="center"/>
        </w:trPr>
        <w:tc>
          <w:tcPr>
            <w:tcW w:w="913" w:type="dxa"/>
            <w:vMerge w:val="restart"/>
            <w:tcBorders>
              <w:top w:val="single" w:sz="4" w:space="0" w:color="auto"/>
              <w:left w:val="single" w:sz="4" w:space="0" w:color="auto"/>
              <w:right w:val="single" w:sz="4" w:space="0" w:color="auto"/>
            </w:tcBorders>
            <w:shd w:val="clear" w:color="auto" w:fill="404040" w:themeFill="text1" w:themeFillTint="BF"/>
            <w:vAlign w:val="center"/>
          </w:tcPr>
          <w:p w14:paraId="7E124913" w14:textId="77777777" w:rsidR="0064042D" w:rsidRPr="001764D1" w:rsidRDefault="0064042D" w:rsidP="00AB5795">
            <w:pPr>
              <w:spacing w:before="120"/>
              <w:jc w:val="center"/>
              <w:rPr>
                <w:rFonts w:ascii="Gadugi" w:hAnsi="Gadugi"/>
                <w:b/>
                <w:bCs/>
                <w:color w:val="FFFFFF" w:themeColor="background1"/>
                <w:sz w:val="19"/>
                <w:szCs w:val="19"/>
                <w:lang w:val="en-GB"/>
              </w:rPr>
            </w:pPr>
            <w:r w:rsidRPr="001764D1">
              <w:rPr>
                <w:rFonts w:ascii="Gadugi" w:hAnsi="Gadugi"/>
                <w:b/>
                <w:bCs/>
                <w:color w:val="FFFFFF" w:themeColor="background1"/>
                <w:sz w:val="19"/>
                <w:szCs w:val="19"/>
                <w:lang w:val="en-GB"/>
              </w:rPr>
              <w:t>Step</w:t>
            </w:r>
          </w:p>
        </w:tc>
        <w:tc>
          <w:tcPr>
            <w:tcW w:w="5859" w:type="dxa"/>
            <w:vMerge w:val="restart"/>
            <w:tcBorders>
              <w:top w:val="single" w:sz="4" w:space="0" w:color="404040" w:themeColor="text1" w:themeTint="BF"/>
              <w:left w:val="single" w:sz="4" w:space="0" w:color="auto"/>
              <w:right w:val="single" w:sz="4" w:space="0" w:color="auto"/>
            </w:tcBorders>
            <w:shd w:val="clear" w:color="auto" w:fill="404040" w:themeFill="text1" w:themeFillTint="BF"/>
            <w:vAlign w:val="center"/>
          </w:tcPr>
          <w:p w14:paraId="1E8A58B6" w14:textId="77777777" w:rsidR="0064042D" w:rsidRPr="001764D1" w:rsidRDefault="0064042D" w:rsidP="00AB5795">
            <w:pPr>
              <w:spacing w:before="120"/>
              <w:jc w:val="center"/>
              <w:rPr>
                <w:rFonts w:ascii="Gadugi" w:hAnsi="Gadugi"/>
                <w:b/>
                <w:bCs/>
                <w:color w:val="FFFFFF" w:themeColor="background1"/>
                <w:sz w:val="19"/>
                <w:szCs w:val="19"/>
                <w:lang w:val="en-GB"/>
              </w:rPr>
            </w:pPr>
            <w:r w:rsidRPr="001764D1">
              <w:rPr>
                <w:rFonts w:ascii="Gadugi" w:hAnsi="Gadugi"/>
                <w:b/>
                <w:bCs/>
                <w:color w:val="FFFFFF" w:themeColor="background1"/>
                <w:sz w:val="19"/>
                <w:szCs w:val="19"/>
                <w:lang w:val="en-GB"/>
              </w:rPr>
              <w:t>Action</w:t>
            </w:r>
          </w:p>
        </w:tc>
        <w:tc>
          <w:tcPr>
            <w:tcW w:w="2868" w:type="dxa"/>
            <w:gridSpan w:val="2"/>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3C7A0CDE" w14:textId="77777777" w:rsidR="0064042D" w:rsidRPr="001764D1" w:rsidRDefault="0064042D" w:rsidP="00AB5795">
            <w:pPr>
              <w:spacing w:before="120"/>
              <w:jc w:val="center"/>
              <w:rPr>
                <w:rFonts w:ascii="Gadugi" w:hAnsi="Gadugi"/>
                <w:b/>
                <w:bCs/>
                <w:color w:val="FFFFFF" w:themeColor="background1"/>
                <w:sz w:val="19"/>
                <w:szCs w:val="19"/>
                <w:highlight w:val="black"/>
                <w:lang w:val="en-GB"/>
              </w:rPr>
            </w:pPr>
            <w:proofErr w:type="gramStart"/>
            <w:r w:rsidRPr="001764D1">
              <w:rPr>
                <w:rFonts w:ascii="Gadugi" w:hAnsi="Gadugi"/>
                <w:b/>
                <w:bCs/>
                <w:color w:val="FFFFFF" w:themeColor="background1"/>
                <w:sz w:val="19"/>
                <w:szCs w:val="19"/>
                <w:lang w:val="en-GB"/>
              </w:rPr>
              <w:t>Time-frame</w:t>
            </w:r>
            <w:proofErr w:type="gramEnd"/>
          </w:p>
        </w:tc>
      </w:tr>
      <w:tr w:rsidR="0064042D" w:rsidRPr="001764D1" w14:paraId="4D805850" w14:textId="77777777" w:rsidTr="00AB5795">
        <w:trPr>
          <w:jc w:val="center"/>
        </w:trPr>
        <w:tc>
          <w:tcPr>
            <w:tcW w:w="913" w:type="dxa"/>
            <w:vMerge/>
            <w:tcBorders>
              <w:left w:val="single" w:sz="4" w:space="0" w:color="auto"/>
              <w:bottom w:val="single" w:sz="4" w:space="0" w:color="auto"/>
              <w:right w:val="single" w:sz="4" w:space="0" w:color="auto"/>
            </w:tcBorders>
            <w:shd w:val="clear" w:color="auto" w:fill="404040" w:themeFill="text1" w:themeFillTint="BF"/>
          </w:tcPr>
          <w:p w14:paraId="5D77056B" w14:textId="77777777" w:rsidR="0064042D" w:rsidRPr="001764D1" w:rsidRDefault="0064042D" w:rsidP="00AB5795">
            <w:pPr>
              <w:spacing w:before="120"/>
              <w:jc w:val="center"/>
              <w:rPr>
                <w:rFonts w:ascii="Gadugi" w:hAnsi="Gadugi"/>
                <w:b/>
                <w:bCs/>
                <w:color w:val="FFFFFF" w:themeColor="background1"/>
                <w:sz w:val="19"/>
                <w:szCs w:val="19"/>
                <w:lang w:val="en-GB"/>
              </w:rPr>
            </w:pPr>
          </w:p>
        </w:tc>
        <w:tc>
          <w:tcPr>
            <w:tcW w:w="5859" w:type="dxa"/>
            <w:vMerge/>
            <w:tcBorders>
              <w:left w:val="single" w:sz="4" w:space="0" w:color="auto"/>
              <w:bottom w:val="single" w:sz="4" w:space="0" w:color="404040" w:themeColor="text1" w:themeTint="BF"/>
              <w:right w:val="single" w:sz="4" w:space="0" w:color="auto"/>
            </w:tcBorders>
            <w:shd w:val="clear" w:color="auto" w:fill="404040" w:themeFill="text1" w:themeFillTint="BF"/>
          </w:tcPr>
          <w:p w14:paraId="3A17BD60" w14:textId="77777777" w:rsidR="0064042D" w:rsidRPr="001764D1" w:rsidRDefault="0064042D" w:rsidP="00AB5795">
            <w:pPr>
              <w:spacing w:before="120"/>
              <w:jc w:val="center"/>
              <w:rPr>
                <w:rFonts w:ascii="Gadugi" w:hAnsi="Gadugi"/>
                <w:b/>
                <w:bCs/>
                <w:color w:val="FFFFFF" w:themeColor="background1"/>
                <w:sz w:val="19"/>
                <w:szCs w:val="19"/>
                <w:lang w:val="en-GB"/>
              </w:rPr>
            </w:pPr>
          </w:p>
        </w:tc>
        <w:tc>
          <w:tcPr>
            <w:tcW w:w="1308" w:type="dxa"/>
            <w:tcBorders>
              <w:top w:val="single" w:sz="4" w:space="0" w:color="auto"/>
              <w:left w:val="single" w:sz="4" w:space="0" w:color="auto"/>
              <w:bottom w:val="single" w:sz="4" w:space="0" w:color="404040" w:themeColor="text1" w:themeTint="BF"/>
              <w:right w:val="single" w:sz="4" w:space="0" w:color="404040" w:themeColor="text1" w:themeTint="BF"/>
            </w:tcBorders>
            <w:shd w:val="clear" w:color="auto" w:fill="404040" w:themeFill="text1" w:themeFillTint="BF"/>
            <w:vAlign w:val="center"/>
          </w:tcPr>
          <w:p w14:paraId="3BC8EE1B" w14:textId="77777777" w:rsidR="0064042D" w:rsidRPr="001764D1" w:rsidRDefault="0064042D" w:rsidP="00AB5795">
            <w:pPr>
              <w:spacing w:before="120"/>
              <w:jc w:val="center"/>
              <w:rPr>
                <w:rFonts w:ascii="Gadugi" w:hAnsi="Gadugi"/>
                <w:b/>
                <w:bCs/>
                <w:color w:val="FFFFFF" w:themeColor="background1"/>
                <w:sz w:val="19"/>
                <w:szCs w:val="19"/>
                <w:lang w:val="en-GB"/>
              </w:rPr>
            </w:pPr>
            <w:r w:rsidRPr="001764D1">
              <w:rPr>
                <w:rFonts w:ascii="Gadugi" w:hAnsi="Gadugi"/>
                <w:b/>
                <w:bCs/>
                <w:i/>
                <w:iCs/>
                <w:color w:val="FFFFFF" w:themeColor="background1"/>
                <w:sz w:val="19"/>
                <w:szCs w:val="19"/>
                <w:lang w:val="en-GB"/>
              </w:rPr>
              <w:t>Time-Sensitive</w:t>
            </w:r>
          </w:p>
        </w:tc>
        <w:tc>
          <w:tcPr>
            <w:tcW w:w="1560" w:type="dxa"/>
            <w:tcBorders>
              <w:top w:val="single" w:sz="4" w:space="0" w:color="auto"/>
              <w:left w:val="single" w:sz="4" w:space="0" w:color="auto"/>
              <w:bottom w:val="single" w:sz="4" w:space="0" w:color="404040" w:themeColor="text1" w:themeTint="BF"/>
              <w:right w:val="single" w:sz="4" w:space="0" w:color="404040" w:themeColor="text1" w:themeTint="BF"/>
            </w:tcBorders>
            <w:shd w:val="clear" w:color="auto" w:fill="404040" w:themeFill="text1" w:themeFillTint="BF"/>
            <w:vAlign w:val="center"/>
          </w:tcPr>
          <w:p w14:paraId="266360AB" w14:textId="77777777" w:rsidR="0064042D" w:rsidRPr="001764D1" w:rsidRDefault="0064042D" w:rsidP="00AB5795">
            <w:pPr>
              <w:spacing w:before="120"/>
              <w:jc w:val="center"/>
              <w:rPr>
                <w:rFonts w:ascii="Gadugi" w:hAnsi="Gadugi"/>
                <w:b/>
                <w:bCs/>
                <w:color w:val="FFFFFF" w:themeColor="background1"/>
                <w:sz w:val="19"/>
                <w:szCs w:val="19"/>
                <w:lang w:val="en-GB"/>
              </w:rPr>
            </w:pPr>
            <w:r w:rsidRPr="001764D1">
              <w:rPr>
                <w:rFonts w:ascii="Gadugi" w:hAnsi="Gadugi"/>
                <w:b/>
                <w:bCs/>
                <w:i/>
                <w:iCs/>
                <w:color w:val="FFFFFF" w:themeColor="background1"/>
                <w:sz w:val="19"/>
                <w:szCs w:val="19"/>
                <w:lang w:val="en-GB"/>
              </w:rPr>
              <w:t>Non-Time Sensitive</w:t>
            </w:r>
          </w:p>
        </w:tc>
      </w:tr>
      <w:tr w:rsidR="0064042D" w:rsidRPr="001764D1" w14:paraId="61530C99" w14:textId="77777777" w:rsidTr="00AB5795">
        <w:trPr>
          <w:trHeight w:val="2833"/>
          <w:jc w:val="center"/>
        </w:trPr>
        <w:tc>
          <w:tcPr>
            <w:tcW w:w="913" w:type="dxa"/>
            <w:tcBorders>
              <w:top w:val="single" w:sz="4" w:space="0" w:color="auto"/>
              <w:left w:val="single" w:sz="4" w:space="0" w:color="auto"/>
              <w:bottom w:val="single" w:sz="4" w:space="0" w:color="auto"/>
              <w:right w:val="single" w:sz="4" w:space="0" w:color="auto"/>
            </w:tcBorders>
          </w:tcPr>
          <w:p w14:paraId="4FC8C6E2" w14:textId="77777777" w:rsidR="0064042D" w:rsidRPr="001764D1" w:rsidRDefault="0064042D" w:rsidP="00AB5795">
            <w:pPr>
              <w:spacing w:before="120"/>
              <w:jc w:val="center"/>
              <w:rPr>
                <w:rFonts w:ascii="Gadugi" w:hAnsi="Gadugi"/>
                <w:color w:val="000000" w:themeColor="text1"/>
                <w:sz w:val="19"/>
                <w:szCs w:val="19"/>
                <w:lang w:val="en-GB"/>
              </w:rPr>
            </w:pPr>
            <w:r w:rsidRPr="001764D1">
              <w:rPr>
                <w:rFonts w:ascii="Gadugi" w:hAnsi="Gadugi"/>
                <w:color w:val="000000" w:themeColor="text1"/>
                <w:sz w:val="19"/>
                <w:szCs w:val="19"/>
                <w:lang w:val="en-GB"/>
              </w:rPr>
              <w:t>1</w:t>
            </w:r>
          </w:p>
        </w:tc>
        <w:tc>
          <w:tcPr>
            <w:tcW w:w="5859" w:type="dxa"/>
            <w:tcBorders>
              <w:top w:val="single" w:sz="4" w:space="0" w:color="404040" w:themeColor="text1" w:themeTint="BF"/>
              <w:left w:val="single" w:sz="4" w:space="0" w:color="auto"/>
              <w:bottom w:val="single" w:sz="4" w:space="0" w:color="auto"/>
            </w:tcBorders>
          </w:tcPr>
          <w:p w14:paraId="6482B36D" w14:textId="77777777" w:rsidR="0064042D" w:rsidRPr="001764D1" w:rsidRDefault="0064042D" w:rsidP="0064042D">
            <w:pPr>
              <w:pStyle w:val="ListParagraph"/>
              <w:numPr>
                <w:ilvl w:val="0"/>
                <w:numId w:val="2"/>
              </w:numPr>
              <w:spacing w:before="120"/>
              <w:ind w:left="582" w:hanging="574"/>
              <w:contextualSpacing w:val="0"/>
              <w:rPr>
                <w:rFonts w:ascii="Gadugi" w:hAnsi="Gadugi"/>
                <w:sz w:val="19"/>
                <w:szCs w:val="19"/>
                <w:lang w:val="en-GB"/>
              </w:rPr>
            </w:pPr>
            <w:r w:rsidRPr="001764D1">
              <w:rPr>
                <w:rFonts w:ascii="Gadugi" w:hAnsi="Gadugi"/>
                <w:color w:val="000000" w:themeColor="text1"/>
                <w:sz w:val="19"/>
                <w:szCs w:val="19"/>
                <w:lang w:val="en-GB"/>
              </w:rPr>
              <w:t xml:space="preserve">The Complainant must give notice in writing (including by email) to the Respondent (with a copy to the Secretariat) </w:t>
            </w:r>
            <w:r w:rsidRPr="001764D1">
              <w:rPr>
                <w:rFonts w:ascii="Gadugi" w:hAnsi="Gadugi"/>
                <w:sz w:val="19"/>
                <w:szCs w:val="19"/>
                <w:lang w:val="en-GB"/>
              </w:rPr>
              <w:t xml:space="preserve">of the Dispute, specifying that the parties shall use the procedures contained in this Appendix </w:t>
            </w:r>
            <w:r>
              <w:rPr>
                <w:rFonts w:ascii="Gadugi" w:hAnsi="Gadugi"/>
                <w:sz w:val="19"/>
                <w:szCs w:val="19"/>
                <w:lang w:val="en-GB"/>
              </w:rPr>
              <w:t>1</w:t>
            </w:r>
            <w:r w:rsidRPr="001764D1">
              <w:rPr>
                <w:rFonts w:ascii="Gadugi" w:hAnsi="Gadugi"/>
                <w:sz w:val="19"/>
                <w:szCs w:val="19"/>
                <w:lang w:val="en-GB"/>
              </w:rPr>
              <w:t xml:space="preserve"> to resolve the Dispute (</w:t>
            </w:r>
            <w:r w:rsidRPr="001764D1">
              <w:rPr>
                <w:rFonts w:ascii="Gadugi" w:hAnsi="Gadugi"/>
                <w:b/>
                <w:bCs/>
                <w:sz w:val="19"/>
                <w:szCs w:val="19"/>
                <w:lang w:val="en-GB"/>
              </w:rPr>
              <w:t>Notice of Dispute</w:t>
            </w:r>
            <w:r w:rsidRPr="001764D1">
              <w:rPr>
                <w:rFonts w:ascii="Gadugi" w:hAnsi="Gadugi"/>
                <w:sz w:val="19"/>
                <w:szCs w:val="19"/>
                <w:lang w:val="en-GB"/>
              </w:rPr>
              <w:t xml:space="preserve">). </w:t>
            </w:r>
          </w:p>
          <w:p w14:paraId="052A48F3" w14:textId="77777777" w:rsidR="0064042D" w:rsidRPr="001764D1" w:rsidRDefault="0064042D" w:rsidP="0064042D">
            <w:pPr>
              <w:pStyle w:val="ListParagraph"/>
              <w:numPr>
                <w:ilvl w:val="0"/>
                <w:numId w:val="2"/>
              </w:numPr>
              <w:spacing w:before="120"/>
              <w:ind w:left="582" w:hanging="574"/>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 xml:space="preserve">The Notice of Dispute must specify: </w:t>
            </w:r>
          </w:p>
          <w:p w14:paraId="423D386B" w14:textId="77777777" w:rsidR="0064042D" w:rsidRPr="001764D1" w:rsidRDefault="0064042D" w:rsidP="0064042D">
            <w:pPr>
              <w:pStyle w:val="ListParagraph"/>
              <w:numPr>
                <w:ilvl w:val="0"/>
                <w:numId w:val="3"/>
              </w:numPr>
              <w:ind w:left="1174" w:hanging="590"/>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 xml:space="preserve">the nature of the Dispute with reasonable particulars; </w:t>
            </w:r>
          </w:p>
          <w:p w14:paraId="41AA25CE" w14:textId="77777777" w:rsidR="0064042D" w:rsidRPr="001764D1" w:rsidRDefault="0064042D" w:rsidP="0064042D">
            <w:pPr>
              <w:pStyle w:val="ListParagraph"/>
              <w:numPr>
                <w:ilvl w:val="0"/>
                <w:numId w:val="3"/>
              </w:numPr>
              <w:ind w:left="1174" w:hanging="590"/>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 xml:space="preserve">whether or not the Dispute is a Time-Sensitive Dispute (in the Complainant’s reasonable opinion); </w:t>
            </w:r>
          </w:p>
          <w:p w14:paraId="37792DDF" w14:textId="77777777" w:rsidR="0064042D" w:rsidRPr="001764D1" w:rsidRDefault="0064042D" w:rsidP="0064042D">
            <w:pPr>
              <w:pStyle w:val="ListParagraph"/>
              <w:numPr>
                <w:ilvl w:val="0"/>
                <w:numId w:val="3"/>
              </w:numPr>
              <w:ind w:left="1174" w:hanging="590"/>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the desired outcome of the Complainant; and</w:t>
            </w:r>
          </w:p>
          <w:p w14:paraId="3EE19C47" w14:textId="77777777" w:rsidR="0064042D" w:rsidRPr="001764D1" w:rsidRDefault="0064042D" w:rsidP="0064042D">
            <w:pPr>
              <w:pStyle w:val="ListParagraph"/>
              <w:numPr>
                <w:ilvl w:val="0"/>
                <w:numId w:val="3"/>
              </w:numPr>
              <w:ind w:left="1174" w:hanging="590"/>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reasoning as to why that outcome is just.</w:t>
            </w:r>
          </w:p>
          <w:p w14:paraId="70352895" w14:textId="77777777" w:rsidR="0064042D" w:rsidRPr="001764D1" w:rsidRDefault="0064042D" w:rsidP="0064042D">
            <w:pPr>
              <w:pStyle w:val="ListParagraph"/>
              <w:numPr>
                <w:ilvl w:val="0"/>
                <w:numId w:val="2"/>
              </w:numPr>
              <w:spacing w:before="120"/>
              <w:ind w:left="582" w:hanging="574"/>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 xml:space="preserve">The Secretariat may liaise with the parties, individually or together, in order to facilitate an early resolution of the dispute. </w:t>
            </w:r>
          </w:p>
        </w:tc>
        <w:tc>
          <w:tcPr>
            <w:tcW w:w="2868" w:type="dxa"/>
            <w:gridSpan w:val="2"/>
            <w:tcBorders>
              <w:top w:val="single" w:sz="4" w:space="0" w:color="404040" w:themeColor="text1" w:themeTint="BF"/>
            </w:tcBorders>
          </w:tcPr>
          <w:p w14:paraId="4262BF56" w14:textId="77777777" w:rsidR="0064042D" w:rsidRPr="00BF4A3A" w:rsidRDefault="0064042D" w:rsidP="00AB5795">
            <w:pPr>
              <w:spacing w:before="120"/>
              <w:rPr>
                <w:rFonts w:ascii="Gadugi" w:hAnsi="Gadugi"/>
                <w:b/>
                <w:bCs/>
                <w:color w:val="000000" w:themeColor="text1"/>
                <w:sz w:val="19"/>
                <w:szCs w:val="19"/>
                <w:lang w:val="en-GB"/>
              </w:rPr>
            </w:pPr>
            <w:r w:rsidRPr="00BF4A3A">
              <w:rPr>
                <w:rFonts w:ascii="Gadugi" w:hAnsi="Gadugi"/>
                <w:color w:val="000000" w:themeColor="text1"/>
                <w:sz w:val="19"/>
                <w:szCs w:val="19"/>
                <w:lang w:val="en-GB"/>
              </w:rPr>
              <w:t>As soon as practicable</w:t>
            </w:r>
            <w:r>
              <w:rPr>
                <w:rFonts w:ascii="Gadugi" w:hAnsi="Gadugi"/>
                <w:color w:val="000000" w:themeColor="text1"/>
                <w:sz w:val="19"/>
                <w:szCs w:val="19"/>
                <w:lang w:val="en-GB"/>
              </w:rPr>
              <w:t xml:space="preserve"> and</w:t>
            </w:r>
            <w:r>
              <w:t xml:space="preserve"> </w:t>
            </w:r>
            <w:r>
              <w:rPr>
                <w:rFonts w:ascii="Gadugi" w:hAnsi="Gadugi"/>
                <w:color w:val="000000" w:themeColor="text1"/>
                <w:sz w:val="19"/>
                <w:szCs w:val="19"/>
                <w:lang w:val="en-GB"/>
              </w:rPr>
              <w:t>no lat</w:t>
            </w:r>
            <w:r w:rsidRPr="002615BC">
              <w:rPr>
                <w:rFonts w:ascii="Gadugi" w:hAnsi="Gadugi"/>
                <w:color w:val="000000" w:themeColor="text1"/>
                <w:sz w:val="19"/>
                <w:szCs w:val="19"/>
                <w:lang w:val="en-GB"/>
              </w:rPr>
              <w:t>er than 7 days of the determination being notified to the grower</w:t>
            </w:r>
            <w:r>
              <w:rPr>
                <w:rFonts w:ascii="Gadugi" w:hAnsi="Gadugi"/>
                <w:color w:val="000000" w:themeColor="text1"/>
                <w:sz w:val="19"/>
                <w:szCs w:val="19"/>
                <w:lang w:val="en-GB"/>
              </w:rPr>
              <w:t>.</w:t>
            </w:r>
          </w:p>
        </w:tc>
      </w:tr>
      <w:tr w:rsidR="0064042D" w:rsidRPr="001764D1" w14:paraId="50DF36E7" w14:textId="77777777" w:rsidTr="00AB5795">
        <w:trPr>
          <w:trHeight w:val="1229"/>
          <w:jc w:val="center"/>
        </w:trPr>
        <w:tc>
          <w:tcPr>
            <w:tcW w:w="913" w:type="dxa"/>
            <w:tcBorders>
              <w:top w:val="single" w:sz="4" w:space="0" w:color="auto"/>
              <w:left w:val="single" w:sz="4" w:space="0" w:color="auto"/>
              <w:bottom w:val="single" w:sz="4" w:space="0" w:color="auto"/>
              <w:right w:val="single" w:sz="4" w:space="0" w:color="auto"/>
            </w:tcBorders>
          </w:tcPr>
          <w:p w14:paraId="4A1738ED" w14:textId="77777777" w:rsidR="0064042D" w:rsidRPr="001764D1" w:rsidRDefault="0064042D" w:rsidP="00AB5795">
            <w:pPr>
              <w:spacing w:before="120"/>
              <w:jc w:val="center"/>
              <w:rPr>
                <w:rFonts w:ascii="Gadugi" w:hAnsi="Gadugi"/>
                <w:color w:val="000000" w:themeColor="text1"/>
                <w:sz w:val="19"/>
                <w:szCs w:val="19"/>
                <w:lang w:val="en-GB"/>
              </w:rPr>
            </w:pPr>
            <w:r w:rsidRPr="001764D1">
              <w:rPr>
                <w:rFonts w:ascii="Gadugi" w:hAnsi="Gadugi"/>
                <w:color w:val="000000" w:themeColor="text1"/>
                <w:sz w:val="19"/>
                <w:szCs w:val="19"/>
                <w:lang w:val="en-GB"/>
              </w:rPr>
              <w:t>2</w:t>
            </w:r>
          </w:p>
        </w:tc>
        <w:tc>
          <w:tcPr>
            <w:tcW w:w="5859" w:type="dxa"/>
            <w:tcBorders>
              <w:top w:val="single" w:sz="4" w:space="0" w:color="404040" w:themeColor="text1" w:themeTint="BF"/>
              <w:left w:val="single" w:sz="4" w:space="0" w:color="auto"/>
              <w:bottom w:val="single" w:sz="4" w:space="0" w:color="auto"/>
            </w:tcBorders>
          </w:tcPr>
          <w:p w14:paraId="77EFB2C9" w14:textId="77777777" w:rsidR="0064042D" w:rsidRPr="001764D1" w:rsidDel="006E1669" w:rsidRDefault="0064042D" w:rsidP="00AB5795">
            <w:pPr>
              <w:spacing w:before="120"/>
              <w:rPr>
                <w:rFonts w:ascii="Gadugi" w:hAnsi="Gadugi"/>
                <w:color w:val="000000" w:themeColor="text1"/>
                <w:sz w:val="19"/>
                <w:szCs w:val="19"/>
                <w:lang w:val="en-GB"/>
              </w:rPr>
            </w:pPr>
            <w:r w:rsidRPr="001764D1">
              <w:rPr>
                <w:rFonts w:ascii="Gadugi" w:hAnsi="Gadugi"/>
                <w:color w:val="000000" w:themeColor="text1"/>
                <w:sz w:val="19"/>
                <w:szCs w:val="19"/>
                <w:lang w:val="en-GB"/>
              </w:rPr>
              <w:t>If, following Step 1, there is no resolution of the Dispute, the Secretariat will, as soon as practicable, advise both parties whether the Dispute is Time-Sensitive and the parties will follow the following procedures within the specified time frames:</w:t>
            </w:r>
          </w:p>
        </w:tc>
        <w:tc>
          <w:tcPr>
            <w:tcW w:w="2868" w:type="dxa"/>
            <w:gridSpan w:val="2"/>
            <w:tcBorders>
              <w:top w:val="single" w:sz="4" w:space="0" w:color="404040" w:themeColor="text1" w:themeTint="BF"/>
            </w:tcBorders>
          </w:tcPr>
          <w:p w14:paraId="41AACF4B" w14:textId="77777777" w:rsidR="0064042D" w:rsidRPr="001764D1" w:rsidRDefault="0064042D" w:rsidP="00AB5795">
            <w:pPr>
              <w:spacing w:before="120"/>
              <w:jc w:val="left"/>
              <w:rPr>
                <w:rFonts w:ascii="Gadugi" w:hAnsi="Gadugi"/>
                <w:color w:val="000000" w:themeColor="text1"/>
                <w:sz w:val="19"/>
                <w:szCs w:val="19"/>
                <w:lang w:val="en-GB"/>
              </w:rPr>
            </w:pPr>
            <w:r w:rsidRPr="001764D1">
              <w:rPr>
                <w:rFonts w:ascii="Gadugi" w:hAnsi="Gadugi"/>
                <w:color w:val="000000" w:themeColor="text1"/>
                <w:sz w:val="19"/>
                <w:szCs w:val="19"/>
                <w:lang w:val="en-GB"/>
              </w:rPr>
              <w:t>As soon as practicable</w:t>
            </w:r>
          </w:p>
        </w:tc>
      </w:tr>
      <w:tr w:rsidR="0064042D" w:rsidRPr="001764D1" w14:paraId="6960DEB2" w14:textId="77777777" w:rsidTr="00AB5795">
        <w:trPr>
          <w:jc w:val="center"/>
        </w:trPr>
        <w:tc>
          <w:tcPr>
            <w:tcW w:w="913" w:type="dxa"/>
            <w:tcBorders>
              <w:top w:val="single" w:sz="4" w:space="0" w:color="auto"/>
              <w:left w:val="single" w:sz="4" w:space="0" w:color="auto"/>
              <w:bottom w:val="single" w:sz="4" w:space="0" w:color="auto"/>
              <w:right w:val="single" w:sz="4" w:space="0" w:color="auto"/>
            </w:tcBorders>
          </w:tcPr>
          <w:p w14:paraId="1E4A20C6" w14:textId="77777777" w:rsidR="0064042D" w:rsidRPr="001764D1" w:rsidRDefault="0064042D" w:rsidP="00AB5795">
            <w:pPr>
              <w:spacing w:before="120"/>
              <w:jc w:val="center"/>
              <w:rPr>
                <w:rFonts w:ascii="Gadugi" w:hAnsi="Gadugi"/>
                <w:color w:val="000000" w:themeColor="text1"/>
                <w:sz w:val="19"/>
                <w:szCs w:val="19"/>
                <w:lang w:val="en-GB"/>
              </w:rPr>
            </w:pPr>
            <w:r w:rsidRPr="001764D1">
              <w:rPr>
                <w:rFonts w:ascii="Gadugi" w:hAnsi="Gadugi"/>
                <w:color w:val="000000" w:themeColor="text1"/>
                <w:sz w:val="19"/>
                <w:szCs w:val="19"/>
                <w:lang w:val="en-GB"/>
              </w:rPr>
              <w:t>3</w:t>
            </w:r>
          </w:p>
        </w:tc>
        <w:tc>
          <w:tcPr>
            <w:tcW w:w="5859" w:type="dxa"/>
            <w:tcBorders>
              <w:left w:val="single" w:sz="4" w:space="0" w:color="auto"/>
              <w:bottom w:val="single" w:sz="4" w:space="0" w:color="404040" w:themeColor="text1" w:themeTint="BF"/>
            </w:tcBorders>
          </w:tcPr>
          <w:p w14:paraId="1CD81224" w14:textId="77777777" w:rsidR="0064042D" w:rsidRPr="001764D1" w:rsidRDefault="0064042D" w:rsidP="0064042D">
            <w:pPr>
              <w:pStyle w:val="ListParagraph"/>
              <w:numPr>
                <w:ilvl w:val="0"/>
                <w:numId w:val="5"/>
              </w:numPr>
              <w:spacing w:before="120"/>
              <w:ind w:left="528" w:hanging="528"/>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The Respondent must give notice in writing (including by email) to:</w:t>
            </w:r>
          </w:p>
          <w:p w14:paraId="283CAA20" w14:textId="77777777" w:rsidR="0064042D" w:rsidRPr="001764D1" w:rsidRDefault="0064042D" w:rsidP="0064042D">
            <w:pPr>
              <w:pStyle w:val="ListParagraph"/>
              <w:numPr>
                <w:ilvl w:val="1"/>
                <w:numId w:val="5"/>
              </w:numPr>
              <w:spacing w:before="120"/>
              <w:ind w:left="1128" w:hanging="532"/>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the Complainant; and</w:t>
            </w:r>
          </w:p>
          <w:p w14:paraId="3A574632" w14:textId="77777777" w:rsidR="0064042D" w:rsidRPr="001764D1" w:rsidRDefault="0064042D" w:rsidP="0064042D">
            <w:pPr>
              <w:pStyle w:val="ListParagraph"/>
              <w:numPr>
                <w:ilvl w:val="1"/>
                <w:numId w:val="5"/>
              </w:numPr>
              <w:ind w:left="1128" w:hanging="533"/>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the Secretariat,</w:t>
            </w:r>
          </w:p>
          <w:p w14:paraId="412CCB53" w14:textId="77777777" w:rsidR="0064042D" w:rsidRPr="001764D1" w:rsidRDefault="0064042D" w:rsidP="00AB5795">
            <w:pPr>
              <w:spacing w:before="120" w:after="120"/>
              <w:ind w:left="595"/>
              <w:rPr>
                <w:rFonts w:ascii="Gadugi" w:hAnsi="Gadugi"/>
                <w:color w:val="000000" w:themeColor="text1"/>
                <w:sz w:val="19"/>
                <w:szCs w:val="19"/>
                <w:lang w:val="en-GB"/>
              </w:rPr>
            </w:pPr>
            <w:r w:rsidRPr="001764D1">
              <w:rPr>
                <w:rFonts w:ascii="Gadugi" w:hAnsi="Gadugi"/>
                <w:color w:val="000000" w:themeColor="text1"/>
                <w:sz w:val="19"/>
                <w:szCs w:val="19"/>
                <w:lang w:val="en-GB"/>
              </w:rPr>
              <w:t>specifying:</w:t>
            </w:r>
          </w:p>
          <w:p w14:paraId="6E80FCDA" w14:textId="77777777" w:rsidR="0064042D" w:rsidRPr="001764D1" w:rsidRDefault="0064042D" w:rsidP="0064042D">
            <w:pPr>
              <w:pStyle w:val="ListParagraph"/>
              <w:numPr>
                <w:ilvl w:val="1"/>
                <w:numId w:val="5"/>
              </w:numPr>
              <w:ind w:left="1128" w:hanging="533"/>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whether or not the Complainant’s desired outcome is agreed; and</w:t>
            </w:r>
          </w:p>
          <w:p w14:paraId="65711EE5" w14:textId="77777777" w:rsidR="0064042D" w:rsidRPr="001764D1" w:rsidRDefault="0064042D" w:rsidP="0064042D">
            <w:pPr>
              <w:pStyle w:val="ListParagraph"/>
              <w:numPr>
                <w:ilvl w:val="1"/>
                <w:numId w:val="5"/>
              </w:numPr>
              <w:ind w:left="1128" w:hanging="533"/>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if the desired outcome is not agreed:</w:t>
            </w:r>
          </w:p>
          <w:p w14:paraId="3FBB2004" w14:textId="77777777" w:rsidR="0064042D" w:rsidRPr="001764D1" w:rsidRDefault="0064042D" w:rsidP="0064042D">
            <w:pPr>
              <w:pStyle w:val="ListParagraph"/>
              <w:numPr>
                <w:ilvl w:val="2"/>
                <w:numId w:val="5"/>
              </w:numPr>
              <w:ind w:left="1616" w:hanging="488"/>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providing reasoning as to why the Complainant’s claim is not just; and</w:t>
            </w:r>
          </w:p>
          <w:p w14:paraId="08C817B7" w14:textId="77777777" w:rsidR="0064042D" w:rsidRPr="001764D1" w:rsidRDefault="0064042D" w:rsidP="0064042D">
            <w:pPr>
              <w:pStyle w:val="ListParagraph"/>
              <w:numPr>
                <w:ilvl w:val="2"/>
                <w:numId w:val="5"/>
              </w:numPr>
              <w:ind w:left="1616" w:hanging="488"/>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offering an alternative resolution (in the case where the Respondent wishes to offer another outcome).</w:t>
            </w:r>
          </w:p>
          <w:p w14:paraId="7F428E49" w14:textId="77777777" w:rsidR="0064042D" w:rsidRPr="001764D1" w:rsidRDefault="0064042D" w:rsidP="0064042D">
            <w:pPr>
              <w:pStyle w:val="ListParagraph"/>
              <w:numPr>
                <w:ilvl w:val="0"/>
                <w:numId w:val="5"/>
              </w:numPr>
              <w:spacing w:before="120"/>
              <w:ind w:left="582" w:hanging="574"/>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The Secretariat may liaise with the parties, individually or together, in order to facilitate an early resolution of the dispute.</w:t>
            </w:r>
          </w:p>
        </w:tc>
        <w:tc>
          <w:tcPr>
            <w:tcW w:w="1308" w:type="dxa"/>
          </w:tcPr>
          <w:p w14:paraId="3759794F" w14:textId="77777777" w:rsidR="0064042D" w:rsidRPr="001764D1" w:rsidRDefault="0064042D" w:rsidP="00AB5795">
            <w:pPr>
              <w:spacing w:before="120"/>
              <w:jc w:val="left"/>
              <w:rPr>
                <w:rFonts w:ascii="Gadugi" w:hAnsi="Gadugi"/>
                <w:color w:val="000000" w:themeColor="text1"/>
                <w:sz w:val="19"/>
                <w:szCs w:val="19"/>
                <w:lang w:val="en-GB"/>
              </w:rPr>
            </w:pPr>
            <w:r w:rsidRPr="001764D1">
              <w:rPr>
                <w:rFonts w:ascii="Gadugi" w:hAnsi="Gadugi"/>
                <w:color w:val="000000" w:themeColor="text1"/>
                <w:sz w:val="19"/>
                <w:szCs w:val="19"/>
                <w:lang w:val="en-GB"/>
              </w:rPr>
              <w:t xml:space="preserve">Within 48 hours </w:t>
            </w:r>
            <w:proofErr w:type="gramStart"/>
            <w:r w:rsidRPr="001764D1">
              <w:rPr>
                <w:rFonts w:ascii="Gadugi" w:hAnsi="Gadugi"/>
                <w:color w:val="000000" w:themeColor="text1"/>
                <w:sz w:val="19"/>
                <w:szCs w:val="19"/>
                <w:lang w:val="en-GB"/>
              </w:rPr>
              <w:t>from  issue</w:t>
            </w:r>
            <w:proofErr w:type="gramEnd"/>
            <w:r w:rsidRPr="001764D1">
              <w:rPr>
                <w:rFonts w:ascii="Gadugi" w:hAnsi="Gadugi"/>
                <w:color w:val="000000" w:themeColor="text1"/>
                <w:sz w:val="19"/>
                <w:szCs w:val="19"/>
                <w:lang w:val="en-GB"/>
              </w:rPr>
              <w:t xml:space="preserve"> of the Notice of Dispute</w:t>
            </w:r>
          </w:p>
        </w:tc>
        <w:tc>
          <w:tcPr>
            <w:tcW w:w="1560" w:type="dxa"/>
          </w:tcPr>
          <w:p w14:paraId="7E8FB006" w14:textId="77777777" w:rsidR="0064042D" w:rsidRPr="001764D1" w:rsidRDefault="0064042D" w:rsidP="00AB5795">
            <w:pPr>
              <w:spacing w:before="120"/>
              <w:jc w:val="left"/>
              <w:rPr>
                <w:rFonts w:ascii="Gadugi" w:hAnsi="Gadugi"/>
                <w:color w:val="000000" w:themeColor="text1"/>
                <w:sz w:val="19"/>
                <w:szCs w:val="19"/>
                <w:lang w:val="en-GB"/>
              </w:rPr>
            </w:pPr>
            <w:r w:rsidRPr="001764D1">
              <w:rPr>
                <w:rFonts w:ascii="Gadugi" w:hAnsi="Gadugi"/>
                <w:color w:val="000000" w:themeColor="text1"/>
                <w:sz w:val="19"/>
                <w:szCs w:val="19"/>
                <w:lang w:val="en-GB"/>
              </w:rPr>
              <w:t>Within 5 business days from date of issue of the Notice of Dispute</w:t>
            </w:r>
          </w:p>
        </w:tc>
      </w:tr>
      <w:tr w:rsidR="0064042D" w:rsidRPr="001764D1" w14:paraId="13A71716" w14:textId="77777777" w:rsidTr="00AB5795">
        <w:trPr>
          <w:jc w:val="center"/>
        </w:trPr>
        <w:tc>
          <w:tcPr>
            <w:tcW w:w="913" w:type="dxa"/>
            <w:tcBorders>
              <w:top w:val="single" w:sz="4" w:space="0" w:color="auto"/>
              <w:left w:val="single" w:sz="4" w:space="0" w:color="auto"/>
              <w:bottom w:val="single" w:sz="4" w:space="0" w:color="auto"/>
              <w:right w:val="single" w:sz="4" w:space="0" w:color="auto"/>
            </w:tcBorders>
          </w:tcPr>
          <w:p w14:paraId="444C5111" w14:textId="77777777" w:rsidR="0064042D" w:rsidRPr="001764D1" w:rsidRDefault="0064042D" w:rsidP="00AB5795">
            <w:pPr>
              <w:spacing w:before="120"/>
              <w:jc w:val="center"/>
              <w:rPr>
                <w:rFonts w:ascii="Gadugi" w:hAnsi="Gadugi"/>
                <w:color w:val="000000" w:themeColor="text1"/>
                <w:sz w:val="19"/>
                <w:szCs w:val="19"/>
                <w:lang w:val="en-GB"/>
              </w:rPr>
            </w:pPr>
            <w:r w:rsidRPr="001764D1">
              <w:rPr>
                <w:rFonts w:ascii="Gadugi" w:hAnsi="Gadugi"/>
                <w:color w:val="000000" w:themeColor="text1"/>
                <w:sz w:val="19"/>
                <w:szCs w:val="19"/>
                <w:lang w:val="en-GB"/>
              </w:rPr>
              <w:t>4</w:t>
            </w:r>
          </w:p>
        </w:tc>
        <w:tc>
          <w:tcPr>
            <w:tcW w:w="5859" w:type="dxa"/>
            <w:tcBorders>
              <w:top w:val="single" w:sz="4" w:space="0" w:color="404040" w:themeColor="text1" w:themeTint="BF"/>
              <w:left w:val="single" w:sz="4" w:space="0" w:color="auto"/>
              <w:bottom w:val="single" w:sz="4" w:space="0" w:color="404040" w:themeColor="text1" w:themeTint="BF"/>
            </w:tcBorders>
          </w:tcPr>
          <w:p w14:paraId="3ECEE36D" w14:textId="77777777" w:rsidR="0064042D" w:rsidRPr="001764D1" w:rsidRDefault="0064042D" w:rsidP="00AB5795">
            <w:pPr>
              <w:spacing w:before="120"/>
              <w:rPr>
                <w:rFonts w:ascii="Gadugi" w:hAnsi="Gadugi"/>
                <w:color w:val="000000" w:themeColor="text1"/>
                <w:sz w:val="19"/>
                <w:szCs w:val="19"/>
                <w:lang w:val="en-GB"/>
              </w:rPr>
            </w:pPr>
            <w:r w:rsidRPr="001764D1">
              <w:rPr>
                <w:rFonts w:ascii="Gadugi" w:hAnsi="Gadugi"/>
                <w:color w:val="000000" w:themeColor="text1"/>
                <w:sz w:val="19"/>
                <w:szCs w:val="19"/>
                <w:lang w:val="en-GB"/>
              </w:rPr>
              <w:t>If, following Steps 1 to 3, the parties have not resolved the Dispute, the matter will be settled by an Independent Expert jointly appointed by them. They must be satisfied that the Independent Expert is impartial and qualified to rule on the matter(s) in Dispute.</w:t>
            </w:r>
          </w:p>
        </w:tc>
        <w:tc>
          <w:tcPr>
            <w:tcW w:w="1308" w:type="dxa"/>
          </w:tcPr>
          <w:p w14:paraId="21F795CE" w14:textId="77777777" w:rsidR="0064042D" w:rsidRPr="001764D1" w:rsidRDefault="0064042D" w:rsidP="00AB5795">
            <w:pPr>
              <w:spacing w:before="120"/>
              <w:jc w:val="left"/>
              <w:rPr>
                <w:rFonts w:ascii="Gadugi" w:hAnsi="Gadugi"/>
                <w:color w:val="000000" w:themeColor="text1"/>
                <w:sz w:val="19"/>
                <w:szCs w:val="19"/>
                <w:lang w:val="en-GB"/>
              </w:rPr>
            </w:pPr>
            <w:r w:rsidRPr="001764D1">
              <w:rPr>
                <w:rFonts w:ascii="Gadugi" w:hAnsi="Gadugi"/>
                <w:color w:val="000000" w:themeColor="text1"/>
                <w:sz w:val="19"/>
                <w:szCs w:val="19"/>
                <w:lang w:val="en-GB"/>
              </w:rPr>
              <w:t>Within 72 hours from issue of the Notice of Dispute</w:t>
            </w:r>
          </w:p>
        </w:tc>
        <w:tc>
          <w:tcPr>
            <w:tcW w:w="1560" w:type="dxa"/>
          </w:tcPr>
          <w:p w14:paraId="323AC512" w14:textId="77777777" w:rsidR="0064042D" w:rsidRPr="001764D1" w:rsidRDefault="0064042D" w:rsidP="00AB5795">
            <w:pPr>
              <w:spacing w:before="120"/>
              <w:jc w:val="left"/>
              <w:rPr>
                <w:rFonts w:ascii="Gadugi" w:hAnsi="Gadugi"/>
                <w:color w:val="000000" w:themeColor="text1"/>
                <w:sz w:val="19"/>
                <w:szCs w:val="19"/>
                <w:lang w:val="en-GB"/>
              </w:rPr>
            </w:pPr>
            <w:r w:rsidRPr="001764D1">
              <w:rPr>
                <w:rFonts w:ascii="Gadugi" w:hAnsi="Gadugi"/>
                <w:color w:val="000000" w:themeColor="text1"/>
                <w:sz w:val="19"/>
                <w:szCs w:val="19"/>
                <w:lang w:val="en-GB"/>
              </w:rPr>
              <w:t>Within 10 business days from date of issue of the Notice of Dispute</w:t>
            </w:r>
          </w:p>
        </w:tc>
      </w:tr>
    </w:tbl>
    <w:p w14:paraId="0C2D6EC7" w14:textId="77777777" w:rsidR="0064042D" w:rsidRDefault="0064042D" w:rsidP="0064042D"/>
    <w:p w14:paraId="45FF7C38" w14:textId="77777777" w:rsidR="0064042D" w:rsidRDefault="0064042D" w:rsidP="0064042D"/>
    <w:p w14:paraId="754D4576" w14:textId="77777777" w:rsidR="0064042D" w:rsidRDefault="0064042D" w:rsidP="0064042D"/>
    <w:p w14:paraId="306EA6E5" w14:textId="77777777" w:rsidR="0064042D" w:rsidRDefault="0064042D" w:rsidP="0064042D"/>
    <w:tbl>
      <w:tblPr>
        <w:tblStyle w:val="TableGrid"/>
        <w:tblW w:w="9640" w:type="dxa"/>
        <w:jc w:val="center"/>
        <w:tblLook w:val="04A0" w:firstRow="1" w:lastRow="0" w:firstColumn="1" w:lastColumn="0" w:noHBand="0" w:noVBand="1"/>
      </w:tblPr>
      <w:tblGrid>
        <w:gridCol w:w="913"/>
        <w:gridCol w:w="5859"/>
        <w:gridCol w:w="1308"/>
        <w:gridCol w:w="1560"/>
      </w:tblGrid>
      <w:tr w:rsidR="0064042D" w:rsidRPr="001764D1" w14:paraId="4577FF9D" w14:textId="77777777" w:rsidTr="00AB5795">
        <w:trPr>
          <w:jc w:val="center"/>
        </w:trPr>
        <w:tc>
          <w:tcPr>
            <w:tcW w:w="913" w:type="dxa"/>
            <w:vMerge w:val="restart"/>
            <w:tcBorders>
              <w:top w:val="single" w:sz="4" w:space="0" w:color="auto"/>
              <w:left w:val="single" w:sz="4" w:space="0" w:color="auto"/>
              <w:right w:val="single" w:sz="4" w:space="0" w:color="auto"/>
            </w:tcBorders>
            <w:shd w:val="clear" w:color="auto" w:fill="404040" w:themeFill="text1" w:themeFillTint="BF"/>
            <w:vAlign w:val="center"/>
          </w:tcPr>
          <w:p w14:paraId="20056FBE" w14:textId="77777777" w:rsidR="0064042D" w:rsidRPr="001764D1" w:rsidRDefault="0064042D" w:rsidP="00AB5795">
            <w:pPr>
              <w:spacing w:before="120"/>
              <w:jc w:val="center"/>
              <w:rPr>
                <w:rFonts w:ascii="Gadugi" w:hAnsi="Gadugi"/>
                <w:b/>
                <w:bCs/>
                <w:color w:val="FFFFFF" w:themeColor="background1"/>
                <w:sz w:val="19"/>
                <w:szCs w:val="19"/>
                <w:lang w:val="en-GB"/>
              </w:rPr>
            </w:pPr>
            <w:r w:rsidRPr="001764D1">
              <w:rPr>
                <w:rFonts w:ascii="Gadugi" w:hAnsi="Gadugi"/>
                <w:b/>
                <w:bCs/>
                <w:color w:val="FFFFFF" w:themeColor="background1"/>
                <w:sz w:val="19"/>
                <w:szCs w:val="19"/>
                <w:lang w:val="en-GB"/>
              </w:rPr>
              <w:t>Step</w:t>
            </w:r>
          </w:p>
        </w:tc>
        <w:tc>
          <w:tcPr>
            <w:tcW w:w="5859" w:type="dxa"/>
            <w:vMerge w:val="restart"/>
            <w:tcBorders>
              <w:top w:val="single" w:sz="4" w:space="0" w:color="404040" w:themeColor="text1" w:themeTint="BF"/>
              <w:left w:val="single" w:sz="4" w:space="0" w:color="auto"/>
              <w:right w:val="single" w:sz="4" w:space="0" w:color="auto"/>
            </w:tcBorders>
            <w:shd w:val="clear" w:color="auto" w:fill="404040" w:themeFill="text1" w:themeFillTint="BF"/>
            <w:vAlign w:val="center"/>
          </w:tcPr>
          <w:p w14:paraId="0B9C899E" w14:textId="77777777" w:rsidR="0064042D" w:rsidRPr="001764D1" w:rsidRDefault="0064042D" w:rsidP="00AB5795">
            <w:pPr>
              <w:spacing w:before="120"/>
              <w:jc w:val="center"/>
              <w:rPr>
                <w:rFonts w:ascii="Gadugi" w:hAnsi="Gadugi"/>
                <w:b/>
                <w:bCs/>
                <w:color w:val="FFFFFF" w:themeColor="background1"/>
                <w:sz w:val="19"/>
                <w:szCs w:val="19"/>
                <w:lang w:val="en-GB"/>
              </w:rPr>
            </w:pPr>
            <w:r w:rsidRPr="001764D1">
              <w:rPr>
                <w:rFonts w:ascii="Gadugi" w:hAnsi="Gadugi"/>
                <w:b/>
                <w:bCs/>
                <w:color w:val="FFFFFF" w:themeColor="background1"/>
                <w:sz w:val="19"/>
                <w:szCs w:val="19"/>
                <w:lang w:val="en-GB"/>
              </w:rPr>
              <w:t>Action</w:t>
            </w:r>
          </w:p>
        </w:tc>
        <w:tc>
          <w:tcPr>
            <w:tcW w:w="2868" w:type="dxa"/>
            <w:gridSpan w:val="2"/>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0F5831B7" w14:textId="77777777" w:rsidR="0064042D" w:rsidRPr="001764D1" w:rsidRDefault="0064042D" w:rsidP="00AB5795">
            <w:pPr>
              <w:spacing w:before="120"/>
              <w:jc w:val="center"/>
              <w:rPr>
                <w:rFonts w:ascii="Gadugi" w:hAnsi="Gadugi"/>
                <w:b/>
                <w:bCs/>
                <w:color w:val="FFFFFF" w:themeColor="background1"/>
                <w:sz w:val="19"/>
                <w:szCs w:val="19"/>
                <w:highlight w:val="black"/>
                <w:lang w:val="en-GB"/>
              </w:rPr>
            </w:pPr>
            <w:proofErr w:type="gramStart"/>
            <w:r w:rsidRPr="001764D1">
              <w:rPr>
                <w:rFonts w:ascii="Gadugi" w:hAnsi="Gadugi"/>
                <w:b/>
                <w:bCs/>
                <w:color w:val="FFFFFF" w:themeColor="background1"/>
                <w:sz w:val="19"/>
                <w:szCs w:val="19"/>
                <w:lang w:val="en-GB"/>
              </w:rPr>
              <w:t>Time-frame</w:t>
            </w:r>
            <w:proofErr w:type="gramEnd"/>
          </w:p>
        </w:tc>
      </w:tr>
      <w:tr w:rsidR="0064042D" w:rsidRPr="001764D1" w14:paraId="6E635386" w14:textId="77777777" w:rsidTr="00AB5795">
        <w:trPr>
          <w:jc w:val="center"/>
        </w:trPr>
        <w:tc>
          <w:tcPr>
            <w:tcW w:w="913" w:type="dxa"/>
            <w:vMerge/>
            <w:tcBorders>
              <w:left w:val="single" w:sz="4" w:space="0" w:color="auto"/>
              <w:bottom w:val="single" w:sz="4" w:space="0" w:color="auto"/>
              <w:right w:val="single" w:sz="4" w:space="0" w:color="auto"/>
            </w:tcBorders>
          </w:tcPr>
          <w:p w14:paraId="2796047A" w14:textId="77777777" w:rsidR="0064042D" w:rsidRPr="001764D1" w:rsidRDefault="0064042D" w:rsidP="00AB5795">
            <w:pPr>
              <w:spacing w:before="120"/>
              <w:jc w:val="center"/>
              <w:rPr>
                <w:rFonts w:ascii="Gadugi" w:hAnsi="Gadugi"/>
                <w:color w:val="000000" w:themeColor="text1"/>
                <w:sz w:val="19"/>
                <w:szCs w:val="19"/>
                <w:lang w:val="en-GB"/>
              </w:rPr>
            </w:pPr>
          </w:p>
        </w:tc>
        <w:tc>
          <w:tcPr>
            <w:tcW w:w="5859" w:type="dxa"/>
            <w:vMerge/>
            <w:tcBorders>
              <w:left w:val="single" w:sz="4" w:space="0" w:color="auto"/>
              <w:bottom w:val="single" w:sz="4" w:space="0" w:color="404040" w:themeColor="text1" w:themeTint="BF"/>
              <w:right w:val="single" w:sz="4" w:space="0" w:color="auto"/>
            </w:tcBorders>
          </w:tcPr>
          <w:p w14:paraId="41367903" w14:textId="77777777" w:rsidR="0064042D" w:rsidRPr="001764D1" w:rsidRDefault="0064042D" w:rsidP="00AB5795">
            <w:pPr>
              <w:spacing w:before="120"/>
              <w:rPr>
                <w:rFonts w:ascii="Gadugi" w:hAnsi="Gadugi"/>
                <w:color w:val="000000" w:themeColor="text1"/>
                <w:sz w:val="19"/>
                <w:szCs w:val="19"/>
                <w:lang w:val="en-GB"/>
              </w:rPr>
            </w:pPr>
          </w:p>
        </w:tc>
        <w:tc>
          <w:tcPr>
            <w:tcW w:w="1308" w:type="dxa"/>
            <w:tcBorders>
              <w:left w:val="single" w:sz="4" w:space="0" w:color="auto"/>
            </w:tcBorders>
            <w:shd w:val="clear" w:color="auto" w:fill="404040" w:themeFill="text1" w:themeFillTint="BF"/>
            <w:vAlign w:val="center"/>
          </w:tcPr>
          <w:p w14:paraId="61CD46DF" w14:textId="77777777" w:rsidR="0064042D" w:rsidRPr="001764D1" w:rsidRDefault="0064042D" w:rsidP="00AB5795">
            <w:pPr>
              <w:spacing w:before="120"/>
              <w:jc w:val="center"/>
              <w:rPr>
                <w:rFonts w:ascii="Gadugi" w:hAnsi="Gadugi"/>
                <w:color w:val="000000" w:themeColor="text1"/>
                <w:sz w:val="19"/>
                <w:szCs w:val="19"/>
                <w:lang w:val="en-GB"/>
              </w:rPr>
            </w:pPr>
            <w:r w:rsidRPr="001764D1">
              <w:rPr>
                <w:rFonts w:ascii="Gadugi" w:hAnsi="Gadugi"/>
                <w:b/>
                <w:bCs/>
                <w:i/>
                <w:iCs/>
                <w:color w:val="FFFFFF" w:themeColor="background1"/>
                <w:sz w:val="19"/>
                <w:szCs w:val="19"/>
                <w:lang w:val="en-GB"/>
              </w:rPr>
              <w:t>T</w:t>
            </w:r>
            <w:r w:rsidRPr="00E76CF9">
              <w:rPr>
                <w:rFonts w:ascii="Gadugi" w:hAnsi="Gadugi"/>
                <w:b/>
                <w:bCs/>
                <w:i/>
                <w:iCs/>
                <w:color w:val="FFFFFF" w:themeColor="background1"/>
                <w:sz w:val="19"/>
                <w:szCs w:val="19"/>
                <w:shd w:val="clear" w:color="auto" w:fill="404040" w:themeFill="text1" w:themeFillTint="BF"/>
                <w:lang w:val="en-GB"/>
              </w:rPr>
              <w:t>im</w:t>
            </w:r>
            <w:r w:rsidRPr="001764D1">
              <w:rPr>
                <w:rFonts w:ascii="Gadugi" w:hAnsi="Gadugi"/>
                <w:b/>
                <w:bCs/>
                <w:i/>
                <w:iCs/>
                <w:color w:val="FFFFFF" w:themeColor="background1"/>
                <w:sz w:val="19"/>
                <w:szCs w:val="19"/>
                <w:lang w:val="en-GB"/>
              </w:rPr>
              <w:t>e-Sensitive</w:t>
            </w:r>
          </w:p>
        </w:tc>
        <w:tc>
          <w:tcPr>
            <w:tcW w:w="1560" w:type="dxa"/>
            <w:shd w:val="clear" w:color="auto" w:fill="404040" w:themeFill="text1" w:themeFillTint="BF"/>
            <w:vAlign w:val="center"/>
          </w:tcPr>
          <w:p w14:paraId="1B24D09A" w14:textId="77777777" w:rsidR="0064042D" w:rsidRPr="001764D1" w:rsidRDefault="0064042D" w:rsidP="00AB5795">
            <w:pPr>
              <w:spacing w:before="120"/>
              <w:jc w:val="left"/>
              <w:rPr>
                <w:rFonts w:ascii="Gadugi" w:hAnsi="Gadugi"/>
                <w:color w:val="000000" w:themeColor="text1"/>
                <w:sz w:val="19"/>
                <w:szCs w:val="19"/>
                <w:lang w:val="en-GB"/>
              </w:rPr>
            </w:pPr>
            <w:r w:rsidRPr="001764D1">
              <w:rPr>
                <w:rFonts w:ascii="Gadugi" w:hAnsi="Gadugi"/>
                <w:b/>
                <w:bCs/>
                <w:i/>
                <w:iCs/>
                <w:color w:val="FFFFFF" w:themeColor="background1"/>
                <w:sz w:val="19"/>
                <w:szCs w:val="19"/>
                <w:lang w:val="en-GB"/>
              </w:rPr>
              <w:t>Non-Time Sensitive</w:t>
            </w:r>
          </w:p>
        </w:tc>
      </w:tr>
      <w:tr w:rsidR="0064042D" w:rsidRPr="001764D1" w14:paraId="360148C7" w14:textId="77777777" w:rsidTr="00AB5795">
        <w:trPr>
          <w:jc w:val="center"/>
        </w:trPr>
        <w:tc>
          <w:tcPr>
            <w:tcW w:w="913" w:type="dxa"/>
            <w:tcBorders>
              <w:top w:val="single" w:sz="4" w:space="0" w:color="auto"/>
              <w:left w:val="single" w:sz="4" w:space="0" w:color="auto"/>
              <w:bottom w:val="single" w:sz="4" w:space="0" w:color="auto"/>
              <w:right w:val="single" w:sz="4" w:space="0" w:color="auto"/>
            </w:tcBorders>
          </w:tcPr>
          <w:p w14:paraId="738822A1" w14:textId="77777777" w:rsidR="0064042D" w:rsidRPr="001764D1" w:rsidRDefault="0064042D" w:rsidP="00AB5795">
            <w:pPr>
              <w:spacing w:before="120"/>
              <w:jc w:val="center"/>
              <w:rPr>
                <w:rFonts w:ascii="Gadugi" w:hAnsi="Gadugi"/>
                <w:color w:val="000000" w:themeColor="text1"/>
                <w:sz w:val="19"/>
                <w:szCs w:val="19"/>
                <w:lang w:val="en-GB"/>
              </w:rPr>
            </w:pPr>
            <w:r w:rsidRPr="001764D1">
              <w:rPr>
                <w:rFonts w:ascii="Gadugi" w:hAnsi="Gadugi"/>
                <w:color w:val="000000" w:themeColor="text1"/>
                <w:sz w:val="19"/>
                <w:szCs w:val="19"/>
                <w:lang w:val="en-GB"/>
              </w:rPr>
              <w:t>5</w:t>
            </w:r>
          </w:p>
        </w:tc>
        <w:tc>
          <w:tcPr>
            <w:tcW w:w="5859" w:type="dxa"/>
            <w:tcBorders>
              <w:top w:val="single" w:sz="4" w:space="0" w:color="404040" w:themeColor="text1" w:themeTint="BF"/>
              <w:left w:val="single" w:sz="4" w:space="0" w:color="auto"/>
              <w:bottom w:val="single" w:sz="4" w:space="0" w:color="404040" w:themeColor="text1" w:themeTint="BF"/>
            </w:tcBorders>
          </w:tcPr>
          <w:p w14:paraId="48A56A82" w14:textId="77777777" w:rsidR="0064042D" w:rsidRPr="001764D1" w:rsidRDefault="0064042D" w:rsidP="00AB5795">
            <w:pPr>
              <w:spacing w:before="120"/>
              <w:rPr>
                <w:rFonts w:ascii="Gadugi" w:hAnsi="Gadugi"/>
                <w:color w:val="000000" w:themeColor="text1"/>
                <w:sz w:val="19"/>
                <w:szCs w:val="19"/>
                <w:lang w:val="en-GB"/>
              </w:rPr>
            </w:pPr>
            <w:r w:rsidRPr="001764D1">
              <w:rPr>
                <w:rFonts w:ascii="Gadugi" w:hAnsi="Gadugi"/>
                <w:color w:val="000000" w:themeColor="text1"/>
                <w:sz w:val="19"/>
                <w:szCs w:val="19"/>
                <w:lang w:val="en-GB"/>
              </w:rPr>
              <w:t xml:space="preserve">If the parties cannot agree on the selection of an Independent Expert, the Secretariat will make the appointment, from the list of Independent Experts on </w:t>
            </w:r>
            <w:r>
              <w:rPr>
                <w:rFonts w:ascii="Gadugi" w:hAnsi="Gadugi"/>
                <w:color w:val="000000" w:themeColor="text1"/>
                <w:sz w:val="19"/>
                <w:szCs w:val="19"/>
                <w:lang w:val="en-GB"/>
              </w:rPr>
              <w:t>AGW</w:t>
            </w:r>
            <w:r w:rsidRPr="001764D1">
              <w:rPr>
                <w:rFonts w:ascii="Gadugi" w:hAnsi="Gadugi"/>
                <w:color w:val="000000" w:themeColor="text1"/>
                <w:sz w:val="19"/>
                <w:szCs w:val="19"/>
                <w:lang w:val="en-GB"/>
              </w:rPr>
              <w:t xml:space="preserve">’s </w:t>
            </w:r>
            <w:r>
              <w:rPr>
                <w:rFonts w:ascii="Gadugi" w:hAnsi="Gadugi"/>
                <w:color w:val="000000" w:themeColor="text1"/>
                <w:sz w:val="19"/>
                <w:szCs w:val="19"/>
                <w:lang w:val="en-GB"/>
              </w:rPr>
              <w:t xml:space="preserve">code </w:t>
            </w:r>
            <w:r w:rsidRPr="001764D1">
              <w:rPr>
                <w:rFonts w:ascii="Gadugi" w:hAnsi="Gadugi"/>
                <w:color w:val="000000" w:themeColor="text1"/>
                <w:sz w:val="19"/>
                <w:szCs w:val="19"/>
                <w:lang w:val="en-GB"/>
              </w:rPr>
              <w:t xml:space="preserve">website, upon application of either party and after consulting with the parties. </w:t>
            </w:r>
          </w:p>
          <w:p w14:paraId="0CF3C5FC" w14:textId="77777777" w:rsidR="0064042D" w:rsidRPr="001764D1" w:rsidRDefault="0064042D" w:rsidP="00AB5795">
            <w:pPr>
              <w:spacing w:before="120"/>
              <w:rPr>
                <w:rFonts w:ascii="Gadugi" w:hAnsi="Gadugi"/>
                <w:color w:val="000000" w:themeColor="text1"/>
                <w:sz w:val="19"/>
                <w:szCs w:val="19"/>
                <w:lang w:val="en-GB"/>
              </w:rPr>
            </w:pPr>
          </w:p>
        </w:tc>
        <w:tc>
          <w:tcPr>
            <w:tcW w:w="1308" w:type="dxa"/>
          </w:tcPr>
          <w:p w14:paraId="7EFF1655" w14:textId="77777777" w:rsidR="0064042D" w:rsidRPr="001764D1" w:rsidRDefault="0064042D" w:rsidP="00AB5795">
            <w:pPr>
              <w:spacing w:before="120"/>
              <w:jc w:val="left"/>
              <w:rPr>
                <w:rFonts w:ascii="Gadugi" w:hAnsi="Gadugi"/>
                <w:color w:val="000000" w:themeColor="text1"/>
                <w:sz w:val="19"/>
                <w:szCs w:val="19"/>
                <w:lang w:val="en-GB"/>
              </w:rPr>
            </w:pPr>
            <w:r w:rsidRPr="001764D1">
              <w:rPr>
                <w:rFonts w:ascii="Gadugi" w:hAnsi="Gadugi"/>
                <w:color w:val="000000" w:themeColor="text1"/>
                <w:sz w:val="19"/>
                <w:szCs w:val="19"/>
                <w:lang w:val="en-GB"/>
              </w:rPr>
              <w:t>Within 24 hours of receipt of an application from either party under this Step 5</w:t>
            </w:r>
          </w:p>
        </w:tc>
        <w:tc>
          <w:tcPr>
            <w:tcW w:w="1560" w:type="dxa"/>
          </w:tcPr>
          <w:p w14:paraId="1B08A727" w14:textId="77777777" w:rsidR="0064042D" w:rsidRPr="001764D1" w:rsidRDefault="0064042D" w:rsidP="00AB5795">
            <w:pPr>
              <w:spacing w:before="120"/>
              <w:jc w:val="left"/>
              <w:rPr>
                <w:rFonts w:ascii="Gadugi" w:hAnsi="Gadugi"/>
                <w:color w:val="000000" w:themeColor="text1"/>
                <w:sz w:val="19"/>
                <w:szCs w:val="19"/>
                <w:lang w:val="en-GB"/>
              </w:rPr>
            </w:pPr>
            <w:r w:rsidRPr="001764D1">
              <w:rPr>
                <w:rFonts w:ascii="Gadugi" w:hAnsi="Gadugi"/>
                <w:color w:val="000000" w:themeColor="text1"/>
                <w:sz w:val="19"/>
                <w:szCs w:val="19"/>
                <w:lang w:val="en-GB"/>
              </w:rPr>
              <w:t>Within 5 business days of receipt of an application from either party under this Step 5</w:t>
            </w:r>
          </w:p>
        </w:tc>
      </w:tr>
      <w:tr w:rsidR="0064042D" w:rsidRPr="001764D1" w14:paraId="27AE13BD" w14:textId="77777777" w:rsidTr="00AB5795">
        <w:trPr>
          <w:jc w:val="center"/>
        </w:trPr>
        <w:tc>
          <w:tcPr>
            <w:tcW w:w="913" w:type="dxa"/>
            <w:tcBorders>
              <w:top w:val="single" w:sz="4" w:space="0" w:color="auto"/>
              <w:left w:val="single" w:sz="4" w:space="0" w:color="auto"/>
              <w:bottom w:val="single" w:sz="4" w:space="0" w:color="auto"/>
              <w:right w:val="single" w:sz="4" w:space="0" w:color="auto"/>
            </w:tcBorders>
          </w:tcPr>
          <w:p w14:paraId="6A51CA50" w14:textId="77777777" w:rsidR="0064042D" w:rsidRPr="001764D1" w:rsidRDefault="0064042D" w:rsidP="00AB5795">
            <w:pPr>
              <w:spacing w:before="120"/>
              <w:jc w:val="center"/>
              <w:rPr>
                <w:rFonts w:ascii="Gadugi" w:hAnsi="Gadugi"/>
                <w:color w:val="000000" w:themeColor="text1"/>
                <w:sz w:val="19"/>
                <w:szCs w:val="19"/>
                <w:lang w:val="en-GB"/>
              </w:rPr>
            </w:pPr>
            <w:r w:rsidRPr="001764D1">
              <w:rPr>
                <w:rFonts w:ascii="Gadugi" w:hAnsi="Gadugi"/>
                <w:color w:val="000000" w:themeColor="text1"/>
                <w:sz w:val="19"/>
                <w:szCs w:val="19"/>
                <w:lang w:val="en-GB"/>
              </w:rPr>
              <w:t>6</w:t>
            </w:r>
          </w:p>
        </w:tc>
        <w:tc>
          <w:tcPr>
            <w:tcW w:w="5859" w:type="dxa"/>
            <w:tcBorders>
              <w:top w:val="single" w:sz="4" w:space="0" w:color="404040" w:themeColor="text1" w:themeTint="BF"/>
              <w:left w:val="single" w:sz="4" w:space="0" w:color="auto"/>
            </w:tcBorders>
          </w:tcPr>
          <w:p w14:paraId="5ECB5EF7" w14:textId="77777777" w:rsidR="0064042D" w:rsidRPr="001764D1" w:rsidRDefault="0064042D" w:rsidP="0064042D">
            <w:pPr>
              <w:pStyle w:val="ListParagraph"/>
              <w:numPr>
                <w:ilvl w:val="0"/>
                <w:numId w:val="4"/>
              </w:numPr>
              <w:spacing w:before="120"/>
              <w:ind w:left="528" w:hanging="528"/>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 xml:space="preserve">The Independent Expert will determine their own processes and the parties will comply with them. </w:t>
            </w:r>
          </w:p>
          <w:p w14:paraId="3B0705E5" w14:textId="77777777" w:rsidR="0064042D" w:rsidRPr="001764D1" w:rsidRDefault="0064042D" w:rsidP="0064042D">
            <w:pPr>
              <w:pStyle w:val="ListParagraph"/>
              <w:numPr>
                <w:ilvl w:val="0"/>
                <w:numId w:val="4"/>
              </w:numPr>
              <w:spacing w:before="120"/>
              <w:ind w:left="528" w:hanging="528"/>
              <w:contextualSpacing w:val="0"/>
              <w:rPr>
                <w:rFonts w:ascii="Gadugi" w:hAnsi="Gadugi"/>
                <w:color w:val="000000" w:themeColor="text1"/>
                <w:sz w:val="19"/>
                <w:szCs w:val="19"/>
                <w:lang w:val="en-GB"/>
              </w:rPr>
            </w:pPr>
            <w:r w:rsidRPr="001764D1">
              <w:rPr>
                <w:rFonts w:ascii="Gadugi" w:hAnsi="Gadugi"/>
                <w:color w:val="000000" w:themeColor="text1"/>
                <w:sz w:val="19"/>
                <w:szCs w:val="19"/>
                <w:lang w:val="en-GB"/>
              </w:rPr>
              <w:t>The Independent Expert will deliver a determination to the parties and the Secretariat or, if the matter requires extensive consideration, submissions from the parties, investigation or other evidence, will set a reasonable time-frame within which to deliver the determination (and subsequently deliver the determination within that time-frame).</w:t>
            </w:r>
          </w:p>
        </w:tc>
        <w:tc>
          <w:tcPr>
            <w:tcW w:w="1308" w:type="dxa"/>
          </w:tcPr>
          <w:p w14:paraId="1779E5B4" w14:textId="77777777" w:rsidR="0064042D" w:rsidRPr="001764D1" w:rsidRDefault="0064042D" w:rsidP="00AB5795">
            <w:pPr>
              <w:spacing w:before="120"/>
              <w:jc w:val="left"/>
              <w:rPr>
                <w:rFonts w:ascii="Gadugi" w:hAnsi="Gadugi"/>
                <w:color w:val="000000" w:themeColor="text1"/>
                <w:sz w:val="19"/>
                <w:szCs w:val="19"/>
                <w:lang w:val="en-GB"/>
              </w:rPr>
            </w:pPr>
            <w:r w:rsidRPr="001764D1">
              <w:rPr>
                <w:rFonts w:ascii="Gadugi" w:hAnsi="Gadugi"/>
                <w:color w:val="000000" w:themeColor="text1"/>
                <w:sz w:val="19"/>
                <w:szCs w:val="19"/>
                <w:lang w:val="en-GB"/>
              </w:rPr>
              <w:t xml:space="preserve">Within 48 hours of being appointed, or such other reasonable </w:t>
            </w:r>
            <w:proofErr w:type="gramStart"/>
            <w:r w:rsidRPr="001764D1">
              <w:rPr>
                <w:rFonts w:ascii="Gadugi" w:hAnsi="Gadugi"/>
                <w:color w:val="000000" w:themeColor="text1"/>
                <w:sz w:val="19"/>
                <w:szCs w:val="19"/>
                <w:lang w:val="en-GB"/>
              </w:rPr>
              <w:t>time-frame</w:t>
            </w:r>
            <w:proofErr w:type="gramEnd"/>
          </w:p>
        </w:tc>
        <w:tc>
          <w:tcPr>
            <w:tcW w:w="1560" w:type="dxa"/>
          </w:tcPr>
          <w:p w14:paraId="3A6DF71E" w14:textId="77777777" w:rsidR="0064042D" w:rsidRPr="001764D1" w:rsidRDefault="0064042D" w:rsidP="00AB5795">
            <w:pPr>
              <w:spacing w:before="120"/>
              <w:jc w:val="left"/>
              <w:rPr>
                <w:rFonts w:ascii="Gadugi" w:hAnsi="Gadugi"/>
                <w:color w:val="000000" w:themeColor="text1"/>
                <w:sz w:val="19"/>
                <w:szCs w:val="19"/>
                <w:lang w:val="en-GB"/>
              </w:rPr>
            </w:pPr>
            <w:r w:rsidRPr="001764D1">
              <w:rPr>
                <w:rFonts w:ascii="Gadugi" w:hAnsi="Gadugi"/>
                <w:color w:val="000000" w:themeColor="text1"/>
                <w:sz w:val="19"/>
                <w:szCs w:val="19"/>
                <w:lang w:val="en-GB"/>
              </w:rPr>
              <w:t xml:space="preserve">Within 10 business days of being appointed, or such other reasonable </w:t>
            </w:r>
            <w:proofErr w:type="gramStart"/>
            <w:r w:rsidRPr="001764D1">
              <w:rPr>
                <w:rFonts w:ascii="Gadugi" w:hAnsi="Gadugi"/>
                <w:color w:val="000000" w:themeColor="text1"/>
                <w:sz w:val="19"/>
                <w:szCs w:val="19"/>
                <w:lang w:val="en-GB"/>
              </w:rPr>
              <w:t>time-frame</w:t>
            </w:r>
            <w:proofErr w:type="gramEnd"/>
          </w:p>
        </w:tc>
      </w:tr>
    </w:tbl>
    <w:p w14:paraId="5E084275" w14:textId="3B8F6590" w:rsidR="00DC1E19" w:rsidRPr="0064042D" w:rsidRDefault="00DC1E19" w:rsidP="0064042D">
      <w:pPr>
        <w:jc w:val="left"/>
        <w:rPr>
          <w:rFonts w:ascii="Gadugi" w:hAnsi="Gadugi"/>
        </w:rPr>
      </w:pPr>
    </w:p>
    <w:sectPr w:rsidR="00DC1E19" w:rsidRPr="0064042D" w:rsidSect="0064042D">
      <w:headerReference w:type="default" r:id="rId8"/>
      <w:pgSz w:w="11906" w:h="16838"/>
      <w:pgMar w:top="1701" w:right="170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34C62" w14:textId="77777777" w:rsidR="00FA40AD" w:rsidRDefault="00FA40AD" w:rsidP="0064042D">
      <w:r>
        <w:separator/>
      </w:r>
    </w:p>
  </w:endnote>
  <w:endnote w:type="continuationSeparator" w:id="0">
    <w:p w14:paraId="016E3B18" w14:textId="77777777" w:rsidR="00FA40AD" w:rsidRDefault="00FA40AD" w:rsidP="0064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64295" w14:textId="77777777" w:rsidR="00FA40AD" w:rsidRDefault="00FA40AD" w:rsidP="0064042D">
      <w:r>
        <w:separator/>
      </w:r>
    </w:p>
  </w:footnote>
  <w:footnote w:type="continuationSeparator" w:id="0">
    <w:p w14:paraId="787CB6DB" w14:textId="77777777" w:rsidR="00FA40AD" w:rsidRDefault="00FA40AD" w:rsidP="00640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C361B" w14:textId="77777777" w:rsidR="0064042D" w:rsidRDefault="0064042D" w:rsidP="0064042D">
    <w:pPr>
      <w:pStyle w:val="Header"/>
    </w:pPr>
    <w:r>
      <w:rPr>
        <w:noProof/>
      </w:rPr>
      <w:drawing>
        <wp:anchor distT="0" distB="0" distL="114300" distR="114300" simplePos="0" relativeHeight="251659264" behindDoc="1" locked="0" layoutInCell="1" allowOverlap="1" wp14:anchorId="4534AFB5" wp14:editId="11457D03">
          <wp:simplePos x="0" y="0"/>
          <wp:positionH relativeFrom="page">
            <wp:posOffset>32385</wp:posOffset>
          </wp:positionH>
          <wp:positionV relativeFrom="page">
            <wp:posOffset>20955</wp:posOffset>
          </wp:positionV>
          <wp:extent cx="7552800" cy="979200"/>
          <wp:effectExtent l="0" t="0" r="3810" b="0"/>
          <wp:wrapNone/>
          <wp:docPr id="4105" name="Picture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W_WC-report-inner-header.jpg"/>
                  <pic:cNvPicPr/>
                </pic:nvPicPr>
                <pic:blipFill>
                  <a:blip r:embed="rId1">
                    <a:extLst>
                      <a:ext uri="{28A0092B-C50C-407E-A947-70E740481C1C}">
                        <a14:useLocalDpi xmlns:a14="http://schemas.microsoft.com/office/drawing/2010/main" val="0"/>
                      </a:ext>
                    </a:extLst>
                  </a:blip>
                  <a:stretch>
                    <a:fillRect/>
                  </a:stretch>
                </pic:blipFill>
                <pic:spPr>
                  <a:xfrm>
                    <a:off x="0" y="0"/>
                    <a:ext cx="7552800" cy="979200"/>
                  </a:xfrm>
                  <a:prstGeom prst="rect">
                    <a:avLst/>
                  </a:prstGeom>
                </pic:spPr>
              </pic:pic>
            </a:graphicData>
          </a:graphic>
          <wp14:sizeRelH relativeFrom="margin">
            <wp14:pctWidth>0</wp14:pctWidth>
          </wp14:sizeRelH>
          <wp14:sizeRelV relativeFrom="margin">
            <wp14:pctHeight>0</wp14:pctHeight>
          </wp14:sizeRelV>
        </wp:anchor>
      </w:drawing>
    </w:r>
  </w:p>
  <w:p w14:paraId="27F277F9" w14:textId="77777777" w:rsidR="0064042D" w:rsidRDefault="00640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A29D4"/>
    <w:multiLevelType w:val="hybridMultilevel"/>
    <w:tmpl w:val="23EEB806"/>
    <w:lvl w:ilvl="0" w:tplc="4DE472AA">
      <w:start w:val="1"/>
      <w:numFmt w:val="lowerLetter"/>
      <w:lvlText w:val="(%1)"/>
      <w:lvlJc w:val="left"/>
      <w:pPr>
        <w:ind w:left="720" w:hanging="360"/>
      </w:pPr>
      <w:rPr>
        <w:rFonts w:hint="default"/>
      </w:rPr>
    </w:lvl>
    <w:lvl w:ilvl="1" w:tplc="98D8202C">
      <w:start w:val="1"/>
      <w:numFmt w:val="lowerRoman"/>
      <w:lvlText w:val="(%2)"/>
      <w:lvlJc w:val="left"/>
      <w:pPr>
        <w:ind w:left="1440" w:hanging="360"/>
      </w:pPr>
      <w:rPr>
        <w:rFonts w:hint="default"/>
      </w:r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53074CD"/>
    <w:multiLevelType w:val="multilevel"/>
    <w:tmpl w:val="653C0852"/>
    <w:lvl w:ilvl="0">
      <w:start w:val="1"/>
      <w:numFmt w:val="decimal"/>
      <w:pStyle w:val="Heading1"/>
      <w:lvlText w:val="%1."/>
      <w:lvlJc w:val="left"/>
      <w:pPr>
        <w:tabs>
          <w:tab w:val="num" w:pos="709"/>
        </w:tabs>
        <w:ind w:left="709" w:hanging="709"/>
      </w:pPr>
      <w:rPr>
        <w:b/>
        <w:bCs/>
        <w:sz w:val="28"/>
        <w:szCs w:val="28"/>
      </w:rPr>
    </w:lvl>
    <w:lvl w:ilvl="1">
      <w:start w:val="1"/>
      <w:numFmt w:val="decimal"/>
      <w:pStyle w:val="Heading2"/>
      <w:lvlText w:val="%1.%2"/>
      <w:lvlJc w:val="left"/>
      <w:pPr>
        <w:tabs>
          <w:tab w:val="num" w:pos="709"/>
        </w:tabs>
        <w:ind w:left="709" w:hanging="709"/>
      </w:pPr>
    </w:lvl>
    <w:lvl w:ilvl="2">
      <w:start w:val="1"/>
      <w:numFmt w:val="lowerLetter"/>
      <w:pStyle w:val="Heading3"/>
      <w:lvlText w:val="(%3)"/>
      <w:lvlJc w:val="left"/>
      <w:pPr>
        <w:tabs>
          <w:tab w:val="num" w:pos="1418"/>
        </w:tabs>
        <w:ind w:left="1418" w:hanging="709"/>
      </w:pPr>
      <w:rPr>
        <w:rFonts w:ascii="Gadugi" w:eastAsia="Times New Roman" w:hAnsi="Gadugi" w:cs="Arial" w:hint="default"/>
        <w:b w:val="0"/>
        <w:bCs/>
        <w:sz w:val="20"/>
        <w:szCs w:val="20"/>
      </w:rPr>
    </w:lvl>
    <w:lvl w:ilvl="3">
      <w:start w:val="1"/>
      <w:numFmt w:val="lowerRoman"/>
      <w:pStyle w:val="Heading4"/>
      <w:lvlText w:val="(%4)"/>
      <w:lvlJc w:val="left"/>
      <w:pPr>
        <w:tabs>
          <w:tab w:val="num" w:pos="1418"/>
        </w:tabs>
        <w:ind w:left="1418" w:hanging="708"/>
      </w:pPr>
    </w:lvl>
    <w:lvl w:ilvl="4">
      <w:start w:val="1"/>
      <w:numFmt w:val="upperLetter"/>
      <w:pStyle w:val="Heading5"/>
      <w:lvlText w:val="(%5)"/>
      <w:lvlJc w:val="left"/>
      <w:pPr>
        <w:tabs>
          <w:tab w:val="num" w:pos="2835"/>
        </w:tabs>
        <w:ind w:left="2835" w:hanging="709"/>
      </w:pPr>
    </w:lvl>
    <w:lvl w:ilvl="5">
      <w:start w:val="1"/>
      <w:numFmt w:val="decimal"/>
      <w:pStyle w:val="Heading6"/>
      <w:lvlText w:val="(%6)"/>
      <w:lvlJc w:val="left"/>
      <w:pPr>
        <w:tabs>
          <w:tab w:val="num" w:pos="3549"/>
        </w:tabs>
        <w:ind w:left="3549" w:hanging="714"/>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2" w15:restartNumberingAfterBreak="0">
    <w:nsid w:val="4855327F"/>
    <w:multiLevelType w:val="hybridMultilevel"/>
    <w:tmpl w:val="23EEB806"/>
    <w:lvl w:ilvl="0" w:tplc="4DE472AA">
      <w:start w:val="1"/>
      <w:numFmt w:val="lowerLetter"/>
      <w:lvlText w:val="(%1)"/>
      <w:lvlJc w:val="left"/>
      <w:pPr>
        <w:ind w:left="720" w:hanging="360"/>
      </w:pPr>
      <w:rPr>
        <w:rFonts w:hint="default"/>
      </w:rPr>
    </w:lvl>
    <w:lvl w:ilvl="1" w:tplc="98D8202C">
      <w:start w:val="1"/>
      <w:numFmt w:val="lowerRoman"/>
      <w:lvlText w:val="(%2)"/>
      <w:lvlJc w:val="left"/>
      <w:pPr>
        <w:ind w:left="1440" w:hanging="360"/>
      </w:pPr>
      <w:rPr>
        <w:rFonts w:hint="default"/>
      </w:r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D00826"/>
    <w:multiLevelType w:val="hybridMultilevel"/>
    <w:tmpl w:val="7B68AB78"/>
    <w:lvl w:ilvl="0" w:tplc="98D8202C">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9C4DC7"/>
    <w:multiLevelType w:val="hybridMultilevel"/>
    <w:tmpl w:val="23EEB806"/>
    <w:lvl w:ilvl="0" w:tplc="4DE472AA">
      <w:start w:val="1"/>
      <w:numFmt w:val="lowerLetter"/>
      <w:lvlText w:val="(%1)"/>
      <w:lvlJc w:val="left"/>
      <w:pPr>
        <w:ind w:left="720" w:hanging="360"/>
      </w:pPr>
      <w:rPr>
        <w:rFonts w:hint="default"/>
      </w:rPr>
    </w:lvl>
    <w:lvl w:ilvl="1" w:tplc="98D8202C">
      <w:start w:val="1"/>
      <w:numFmt w:val="lowerRoman"/>
      <w:lvlText w:val="(%2)"/>
      <w:lvlJc w:val="left"/>
      <w:pPr>
        <w:ind w:left="1440" w:hanging="360"/>
      </w:pPr>
      <w:rPr>
        <w:rFonts w:hint="default"/>
      </w:rPr>
    </w:lvl>
    <w:lvl w:ilvl="2" w:tplc="0C090015">
      <w:start w:val="1"/>
      <w:numFmt w:val="upp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2D"/>
    <w:rsid w:val="0064042D"/>
    <w:rsid w:val="006425CA"/>
    <w:rsid w:val="00BA417A"/>
    <w:rsid w:val="00DC1E19"/>
    <w:rsid w:val="00FA4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7B35"/>
  <w15:chartTrackingRefBased/>
  <w15:docId w15:val="{053C3CCC-2368-4B12-952A-7AE5E2D1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42D"/>
    <w:pPr>
      <w:spacing w:after="0" w:line="240" w:lineRule="auto"/>
      <w:jc w:val="both"/>
    </w:pPr>
    <w:rPr>
      <w:rFonts w:ascii="Arial" w:eastAsia="Times New Roman" w:hAnsi="Arial" w:cs="Arial"/>
      <w:sz w:val="20"/>
      <w:szCs w:val="20"/>
      <w:lang w:eastAsia="en-AU"/>
    </w:rPr>
  </w:style>
  <w:style w:type="paragraph" w:styleId="Heading1">
    <w:name w:val="heading 1"/>
    <w:aliases w:val="No numbers"/>
    <w:basedOn w:val="Normal"/>
    <w:next w:val="Heading2"/>
    <w:link w:val="Heading1Char"/>
    <w:qFormat/>
    <w:rsid w:val="0064042D"/>
    <w:pPr>
      <w:keepNext/>
      <w:numPr>
        <w:numId w:val="1"/>
      </w:numPr>
      <w:pBdr>
        <w:bottom w:val="single" w:sz="4" w:space="3" w:color="auto"/>
      </w:pBdr>
      <w:spacing w:before="480"/>
      <w:outlineLvl w:val="0"/>
    </w:pPr>
    <w:rPr>
      <w:b/>
      <w:sz w:val="28"/>
    </w:rPr>
  </w:style>
  <w:style w:type="paragraph" w:styleId="Heading2">
    <w:name w:val="heading 2"/>
    <w:basedOn w:val="Normal"/>
    <w:next w:val="NormalIndent"/>
    <w:link w:val="Heading2Char"/>
    <w:qFormat/>
    <w:rsid w:val="0064042D"/>
    <w:pPr>
      <w:keepNext/>
      <w:numPr>
        <w:ilvl w:val="1"/>
        <w:numId w:val="1"/>
      </w:numPr>
      <w:spacing w:before="240"/>
      <w:outlineLvl w:val="1"/>
    </w:pPr>
    <w:rPr>
      <w:b/>
      <w:sz w:val="24"/>
    </w:rPr>
  </w:style>
  <w:style w:type="paragraph" w:styleId="Heading3">
    <w:name w:val="heading 3"/>
    <w:basedOn w:val="Normal"/>
    <w:link w:val="Heading3Char"/>
    <w:qFormat/>
    <w:rsid w:val="0064042D"/>
    <w:pPr>
      <w:numPr>
        <w:ilvl w:val="2"/>
        <w:numId w:val="1"/>
      </w:numPr>
      <w:spacing w:before="120"/>
      <w:outlineLvl w:val="2"/>
    </w:pPr>
  </w:style>
  <w:style w:type="paragraph" w:styleId="Heading4">
    <w:name w:val="heading 4"/>
    <w:basedOn w:val="Normal"/>
    <w:link w:val="Heading4Char"/>
    <w:qFormat/>
    <w:rsid w:val="0064042D"/>
    <w:pPr>
      <w:numPr>
        <w:ilvl w:val="3"/>
        <w:numId w:val="1"/>
      </w:numPr>
      <w:tabs>
        <w:tab w:val="clear" w:pos="1418"/>
        <w:tab w:val="num" w:pos="2126"/>
      </w:tabs>
      <w:spacing w:before="120"/>
      <w:ind w:left="2126"/>
      <w:outlineLvl w:val="3"/>
    </w:pPr>
  </w:style>
  <w:style w:type="paragraph" w:styleId="Heading5">
    <w:name w:val="heading 5"/>
    <w:basedOn w:val="Normal"/>
    <w:link w:val="Heading5Char"/>
    <w:qFormat/>
    <w:rsid w:val="0064042D"/>
    <w:pPr>
      <w:numPr>
        <w:ilvl w:val="4"/>
        <w:numId w:val="1"/>
      </w:numPr>
      <w:spacing w:before="120"/>
      <w:outlineLvl w:val="4"/>
    </w:pPr>
  </w:style>
  <w:style w:type="paragraph" w:styleId="Heading6">
    <w:name w:val="heading 6"/>
    <w:basedOn w:val="Normal"/>
    <w:link w:val="Heading6Char"/>
    <w:qFormat/>
    <w:rsid w:val="0064042D"/>
    <w:pPr>
      <w:numPr>
        <w:ilvl w:val="5"/>
        <w:numId w:val="1"/>
      </w:numPr>
      <w:spacing w:before="1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
    <w:basedOn w:val="DefaultParagraphFont"/>
    <w:link w:val="Heading1"/>
    <w:rsid w:val="0064042D"/>
    <w:rPr>
      <w:rFonts w:ascii="Arial" w:eastAsia="Times New Roman" w:hAnsi="Arial" w:cs="Arial"/>
      <w:b/>
      <w:sz w:val="28"/>
      <w:szCs w:val="20"/>
      <w:lang w:eastAsia="en-AU"/>
    </w:rPr>
  </w:style>
  <w:style w:type="character" w:customStyle="1" w:styleId="Heading2Char">
    <w:name w:val="Heading 2 Char"/>
    <w:basedOn w:val="DefaultParagraphFont"/>
    <w:link w:val="Heading2"/>
    <w:rsid w:val="0064042D"/>
    <w:rPr>
      <w:rFonts w:ascii="Arial" w:eastAsia="Times New Roman" w:hAnsi="Arial" w:cs="Arial"/>
      <w:b/>
      <w:sz w:val="24"/>
      <w:szCs w:val="20"/>
      <w:lang w:eastAsia="en-AU"/>
    </w:rPr>
  </w:style>
  <w:style w:type="character" w:customStyle="1" w:styleId="Heading3Char">
    <w:name w:val="Heading 3 Char"/>
    <w:basedOn w:val="DefaultParagraphFont"/>
    <w:link w:val="Heading3"/>
    <w:rsid w:val="0064042D"/>
    <w:rPr>
      <w:rFonts w:ascii="Arial" w:eastAsia="Times New Roman" w:hAnsi="Arial" w:cs="Arial"/>
      <w:sz w:val="20"/>
      <w:szCs w:val="20"/>
      <w:lang w:eastAsia="en-AU"/>
    </w:rPr>
  </w:style>
  <w:style w:type="character" w:customStyle="1" w:styleId="Heading4Char">
    <w:name w:val="Heading 4 Char"/>
    <w:basedOn w:val="DefaultParagraphFont"/>
    <w:link w:val="Heading4"/>
    <w:rsid w:val="0064042D"/>
    <w:rPr>
      <w:rFonts w:ascii="Arial" w:eastAsia="Times New Roman" w:hAnsi="Arial" w:cs="Arial"/>
      <w:sz w:val="20"/>
      <w:szCs w:val="20"/>
      <w:lang w:eastAsia="en-AU"/>
    </w:rPr>
  </w:style>
  <w:style w:type="character" w:customStyle="1" w:styleId="Heading5Char">
    <w:name w:val="Heading 5 Char"/>
    <w:basedOn w:val="DefaultParagraphFont"/>
    <w:link w:val="Heading5"/>
    <w:rsid w:val="0064042D"/>
    <w:rPr>
      <w:rFonts w:ascii="Arial" w:eastAsia="Times New Roman" w:hAnsi="Arial" w:cs="Arial"/>
      <w:sz w:val="20"/>
      <w:szCs w:val="20"/>
      <w:lang w:eastAsia="en-AU"/>
    </w:rPr>
  </w:style>
  <w:style w:type="character" w:customStyle="1" w:styleId="Heading6Char">
    <w:name w:val="Heading 6 Char"/>
    <w:basedOn w:val="DefaultParagraphFont"/>
    <w:link w:val="Heading6"/>
    <w:rsid w:val="0064042D"/>
    <w:rPr>
      <w:rFonts w:ascii="Arial" w:eastAsia="Times New Roman" w:hAnsi="Arial" w:cs="Arial"/>
      <w:sz w:val="20"/>
      <w:szCs w:val="20"/>
      <w:lang w:eastAsia="en-AU"/>
    </w:rPr>
  </w:style>
  <w:style w:type="paragraph" w:styleId="ListParagraph">
    <w:name w:val="List Paragraph"/>
    <w:aliases w:val="DdeM List Paragraph,Bullet Level 1,List Paragraph1,Recommendation,List Paragraph11,NFP GP Bulleted List,Bullets"/>
    <w:basedOn w:val="Normal"/>
    <w:link w:val="ListParagraphChar"/>
    <w:uiPriority w:val="34"/>
    <w:qFormat/>
    <w:rsid w:val="0064042D"/>
    <w:pPr>
      <w:ind w:left="720"/>
      <w:contextualSpacing/>
    </w:pPr>
  </w:style>
  <w:style w:type="table" w:styleId="TableGrid">
    <w:name w:val="Table Grid"/>
    <w:basedOn w:val="TableNormal"/>
    <w:uiPriority w:val="59"/>
    <w:rsid w:val="0064042D"/>
    <w:pPr>
      <w:spacing w:after="0" w:line="240" w:lineRule="auto"/>
      <w:jc w:val="both"/>
    </w:pPr>
    <w:rPr>
      <w:rFonts w:ascii="Arial" w:eastAsia="Times New Roman"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deM List Paragraph Char,Bullet Level 1 Char,List Paragraph1 Char,Recommendation Char,List Paragraph11 Char,NFP GP Bulleted List Char,Bullets Char"/>
    <w:link w:val="ListParagraph"/>
    <w:uiPriority w:val="34"/>
    <w:rsid w:val="0064042D"/>
    <w:rPr>
      <w:rFonts w:ascii="Arial" w:eastAsia="Times New Roman" w:hAnsi="Arial" w:cs="Arial"/>
      <w:sz w:val="20"/>
      <w:szCs w:val="20"/>
      <w:lang w:eastAsia="en-AU"/>
    </w:rPr>
  </w:style>
  <w:style w:type="paragraph" w:styleId="NormalIndent">
    <w:name w:val="Normal Indent"/>
    <w:basedOn w:val="Normal"/>
    <w:uiPriority w:val="99"/>
    <w:semiHidden/>
    <w:unhideWhenUsed/>
    <w:rsid w:val="0064042D"/>
    <w:pPr>
      <w:ind w:left="720"/>
    </w:pPr>
  </w:style>
  <w:style w:type="paragraph" w:styleId="Header">
    <w:name w:val="header"/>
    <w:basedOn w:val="Normal"/>
    <w:link w:val="HeaderChar"/>
    <w:uiPriority w:val="99"/>
    <w:unhideWhenUsed/>
    <w:rsid w:val="0064042D"/>
    <w:pPr>
      <w:tabs>
        <w:tab w:val="center" w:pos="4513"/>
        <w:tab w:val="right" w:pos="9026"/>
      </w:tabs>
    </w:pPr>
  </w:style>
  <w:style w:type="character" w:customStyle="1" w:styleId="HeaderChar">
    <w:name w:val="Header Char"/>
    <w:basedOn w:val="DefaultParagraphFont"/>
    <w:link w:val="Header"/>
    <w:uiPriority w:val="99"/>
    <w:rsid w:val="0064042D"/>
    <w:rPr>
      <w:rFonts w:ascii="Arial" w:eastAsia="Times New Roman" w:hAnsi="Arial" w:cs="Arial"/>
      <w:sz w:val="20"/>
      <w:szCs w:val="20"/>
      <w:lang w:eastAsia="en-AU"/>
    </w:rPr>
  </w:style>
  <w:style w:type="paragraph" w:styleId="Footer">
    <w:name w:val="footer"/>
    <w:basedOn w:val="Normal"/>
    <w:link w:val="FooterChar"/>
    <w:uiPriority w:val="99"/>
    <w:unhideWhenUsed/>
    <w:rsid w:val="0064042D"/>
    <w:pPr>
      <w:tabs>
        <w:tab w:val="center" w:pos="4513"/>
        <w:tab w:val="right" w:pos="9026"/>
      </w:tabs>
    </w:pPr>
  </w:style>
  <w:style w:type="character" w:customStyle="1" w:styleId="FooterChar">
    <w:name w:val="Footer Char"/>
    <w:basedOn w:val="DefaultParagraphFont"/>
    <w:link w:val="Footer"/>
    <w:uiPriority w:val="99"/>
    <w:rsid w:val="0064042D"/>
    <w:rPr>
      <w:rFonts w:ascii="Arial" w:eastAsia="Times New Roman" w:hAnsi="Arial" w:cs="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Zhu</dc:creator>
  <cp:keywords/>
  <dc:description/>
  <cp:lastModifiedBy>Anthony Caruso</cp:lastModifiedBy>
  <cp:revision>2</cp:revision>
  <dcterms:created xsi:type="dcterms:W3CDTF">2022-05-06T04:07:00Z</dcterms:created>
  <dcterms:modified xsi:type="dcterms:W3CDTF">2022-05-06T04:07:00Z</dcterms:modified>
</cp:coreProperties>
</file>