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368C6" w14:textId="77777777" w:rsidR="009311BB" w:rsidRDefault="009311BB" w:rsidP="009311BB">
      <w:pPr>
        <w:ind w:left="-709" w:right="-426"/>
        <w:rPr>
          <w:rFonts w:ascii="Gadugi" w:hAnsi="Gadugi"/>
        </w:rPr>
      </w:pPr>
      <w:bookmarkStart w:id="0" w:name="_Toc47616170"/>
      <w:bookmarkStart w:id="1" w:name="_Toc45188179"/>
      <w:bookmarkStart w:id="2" w:name="_Toc45188699"/>
      <w:bookmarkStart w:id="3" w:name="_Toc47616169"/>
    </w:p>
    <w:p w14:paraId="0B82273C" w14:textId="77777777" w:rsidR="009311BB" w:rsidRPr="003517EA" w:rsidRDefault="009311BB" w:rsidP="009311BB">
      <w:pPr>
        <w:pStyle w:val="Heading1"/>
        <w:numPr>
          <w:ilvl w:val="0"/>
          <w:numId w:val="0"/>
        </w:numPr>
        <w:spacing w:before="0"/>
        <w:ind w:left="-709" w:right="-709"/>
        <w:rPr>
          <w:rFonts w:ascii="Gadugi" w:hAnsi="Gadugi"/>
        </w:rPr>
      </w:pPr>
      <w:r w:rsidRPr="003517EA">
        <w:rPr>
          <w:rFonts w:ascii="Gadugi" w:hAnsi="Gadugi"/>
        </w:rPr>
        <w:t>Appendix 2: Conciliation</w:t>
      </w:r>
      <w:bookmarkEnd w:id="0"/>
    </w:p>
    <w:p w14:paraId="1B27F154" w14:textId="77777777" w:rsidR="009311BB" w:rsidRDefault="009311BB" w:rsidP="009311BB">
      <w:pPr>
        <w:ind w:left="-709" w:right="-567"/>
        <w:rPr>
          <w:rFonts w:ascii="Gadugi" w:hAnsi="Gadugi"/>
        </w:rPr>
      </w:pPr>
    </w:p>
    <w:tbl>
      <w:tblPr>
        <w:tblStyle w:val="TableGrid"/>
        <w:tblW w:w="9640" w:type="dxa"/>
        <w:jc w:val="center"/>
        <w:tblLook w:val="04A0" w:firstRow="1" w:lastRow="0" w:firstColumn="1" w:lastColumn="0" w:noHBand="0" w:noVBand="1"/>
      </w:tblPr>
      <w:tblGrid>
        <w:gridCol w:w="831"/>
        <w:gridCol w:w="6230"/>
        <w:gridCol w:w="1303"/>
        <w:gridCol w:w="1276"/>
      </w:tblGrid>
      <w:tr w:rsidR="009311BB" w:rsidRPr="001764D1" w14:paraId="57CBB488" w14:textId="77777777" w:rsidTr="00AB5795">
        <w:trPr>
          <w:jc w:val="center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661F6C2" w14:textId="77777777" w:rsidR="009311BB" w:rsidRPr="001764D1" w:rsidRDefault="009311BB" w:rsidP="00AB5795">
            <w:pPr>
              <w:spacing w:before="120"/>
              <w:jc w:val="center"/>
              <w:rPr>
                <w:rFonts w:ascii="Gadugi" w:hAnsi="Gadugi"/>
                <w:b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b/>
                <w:bCs/>
                <w:color w:val="FFFFFF" w:themeColor="background1"/>
                <w:sz w:val="19"/>
                <w:szCs w:val="19"/>
                <w:lang w:val="en-GB"/>
              </w:rPr>
              <w:t>Step</w:t>
            </w:r>
          </w:p>
        </w:tc>
        <w:tc>
          <w:tcPr>
            <w:tcW w:w="6230" w:type="dxa"/>
            <w:vMerge w:val="restart"/>
            <w:tcBorders>
              <w:top w:val="single" w:sz="4" w:space="0" w:color="404040" w:themeColor="text1" w:themeTint="BF"/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744691C" w14:textId="77777777" w:rsidR="009311BB" w:rsidRPr="001764D1" w:rsidRDefault="009311BB" w:rsidP="00AB5795">
            <w:pPr>
              <w:spacing w:before="120"/>
              <w:jc w:val="center"/>
              <w:rPr>
                <w:rFonts w:ascii="Gadugi" w:hAnsi="Gadugi"/>
                <w:b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b/>
                <w:bCs/>
                <w:color w:val="FFFFFF" w:themeColor="background1"/>
                <w:sz w:val="19"/>
                <w:szCs w:val="19"/>
                <w:lang w:val="en-GB"/>
              </w:rPr>
              <w:t>Action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68141F1" w14:textId="77777777" w:rsidR="009311BB" w:rsidRPr="001764D1" w:rsidRDefault="009311BB" w:rsidP="00AB5795">
            <w:pPr>
              <w:spacing w:before="120"/>
              <w:jc w:val="center"/>
              <w:rPr>
                <w:rFonts w:ascii="Gadugi" w:hAnsi="Gadugi"/>
                <w:b/>
                <w:bCs/>
                <w:color w:val="FFFFFF" w:themeColor="background1"/>
                <w:sz w:val="19"/>
                <w:szCs w:val="19"/>
                <w:highlight w:val="black"/>
                <w:lang w:val="en-GB"/>
              </w:rPr>
            </w:pPr>
            <w:proofErr w:type="gramStart"/>
            <w:r w:rsidRPr="001764D1">
              <w:rPr>
                <w:rFonts w:ascii="Gadugi" w:hAnsi="Gadugi"/>
                <w:b/>
                <w:bCs/>
                <w:color w:val="FFFFFF" w:themeColor="background1"/>
                <w:sz w:val="19"/>
                <w:szCs w:val="19"/>
                <w:lang w:val="en-GB"/>
              </w:rPr>
              <w:t>Time-frame</w:t>
            </w:r>
            <w:proofErr w:type="gramEnd"/>
          </w:p>
        </w:tc>
      </w:tr>
      <w:tr w:rsidR="009311BB" w:rsidRPr="001764D1" w14:paraId="3923E472" w14:textId="77777777" w:rsidTr="00AB5795">
        <w:trPr>
          <w:jc w:val="center"/>
        </w:trPr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3CD9BA85" w14:textId="77777777" w:rsidR="009311BB" w:rsidRPr="001764D1" w:rsidRDefault="009311BB" w:rsidP="00AB5795">
            <w:pPr>
              <w:spacing w:before="120"/>
              <w:jc w:val="center"/>
              <w:rPr>
                <w:rFonts w:ascii="Gadugi" w:hAnsi="Gadugi"/>
                <w:b/>
                <w:bCs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6230" w:type="dxa"/>
            <w:vMerge/>
            <w:tcBorders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07D5567D" w14:textId="77777777" w:rsidR="009311BB" w:rsidRPr="001764D1" w:rsidRDefault="009311BB" w:rsidP="00AB5795">
            <w:pPr>
              <w:spacing w:before="120"/>
              <w:jc w:val="center"/>
              <w:rPr>
                <w:rFonts w:ascii="Gadugi" w:hAnsi="Gadugi"/>
                <w:b/>
                <w:bCs/>
                <w:color w:val="FFFFFF" w:themeColor="background1"/>
                <w:sz w:val="19"/>
                <w:szCs w:val="19"/>
                <w:lang w:val="en-GB"/>
              </w:rPr>
            </w:pPr>
          </w:p>
        </w:tc>
        <w:tc>
          <w:tcPr>
            <w:tcW w:w="1303" w:type="dxa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404040" w:themeFill="text1" w:themeFillTint="BF"/>
            <w:vAlign w:val="center"/>
          </w:tcPr>
          <w:p w14:paraId="1E63A88B" w14:textId="77777777" w:rsidR="009311BB" w:rsidRPr="001764D1" w:rsidRDefault="009311BB" w:rsidP="00AB5795">
            <w:pPr>
              <w:spacing w:before="120"/>
              <w:jc w:val="center"/>
              <w:rPr>
                <w:rFonts w:ascii="Gadugi" w:hAnsi="Gadugi"/>
                <w:b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b/>
                <w:bCs/>
                <w:i/>
                <w:iCs/>
                <w:color w:val="FFFFFF" w:themeColor="background1"/>
                <w:sz w:val="19"/>
                <w:szCs w:val="19"/>
                <w:lang w:val="en-GB"/>
              </w:rPr>
              <w:t>Time-Sensitive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04599A3" w14:textId="77777777" w:rsidR="009311BB" w:rsidRPr="001764D1" w:rsidRDefault="009311BB" w:rsidP="00AB5795">
            <w:pPr>
              <w:spacing w:before="120"/>
              <w:jc w:val="center"/>
              <w:rPr>
                <w:rFonts w:ascii="Gadugi" w:hAnsi="Gadugi"/>
                <w:b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b/>
                <w:bCs/>
                <w:i/>
                <w:iCs/>
                <w:color w:val="FFFFFF" w:themeColor="background1"/>
                <w:sz w:val="19"/>
                <w:szCs w:val="19"/>
                <w:lang w:val="en-GB"/>
              </w:rPr>
              <w:t>Non-Time Sensitive</w:t>
            </w:r>
          </w:p>
        </w:tc>
      </w:tr>
      <w:tr w:rsidR="009311BB" w:rsidRPr="001764D1" w14:paraId="367F0C85" w14:textId="77777777" w:rsidTr="00AB5795">
        <w:trPr>
          <w:trHeight w:val="2833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C859" w14:textId="77777777" w:rsidR="009311BB" w:rsidRPr="001764D1" w:rsidRDefault="009311BB" w:rsidP="00AB5795">
            <w:pPr>
              <w:spacing w:before="120"/>
              <w:jc w:val="center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1</w:t>
            </w:r>
          </w:p>
        </w:tc>
        <w:tc>
          <w:tcPr>
            <w:tcW w:w="6230" w:type="dxa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404040" w:themeColor="text1" w:themeTint="BF"/>
            </w:tcBorders>
          </w:tcPr>
          <w:p w14:paraId="5FB5DD7D" w14:textId="77777777" w:rsidR="009311BB" w:rsidRPr="001764D1" w:rsidRDefault="009311BB" w:rsidP="009311BB">
            <w:pPr>
              <w:pStyle w:val="ListParagraph"/>
              <w:numPr>
                <w:ilvl w:val="0"/>
                <w:numId w:val="6"/>
              </w:numPr>
              <w:spacing w:before="120"/>
              <w:ind w:left="479" w:hanging="425"/>
              <w:contextualSpacing w:val="0"/>
              <w:rPr>
                <w:rFonts w:ascii="Gadugi" w:hAnsi="Gadugi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 xml:space="preserve">The Complainant must give notice in writing (including by email) to the Respondent (with a copy to the Secretariat) </w:t>
            </w:r>
            <w:r w:rsidRPr="001764D1">
              <w:rPr>
                <w:rFonts w:ascii="Gadugi" w:hAnsi="Gadugi"/>
                <w:sz w:val="19"/>
                <w:szCs w:val="19"/>
                <w:lang w:val="en-GB"/>
              </w:rPr>
              <w:t xml:space="preserve">of the Dispute, specifying that the parties shall use the procedures contained in this Appendix </w:t>
            </w:r>
            <w:r>
              <w:rPr>
                <w:rFonts w:ascii="Gadugi" w:hAnsi="Gadugi"/>
                <w:sz w:val="19"/>
                <w:szCs w:val="19"/>
                <w:lang w:val="en-GB"/>
              </w:rPr>
              <w:t>2</w:t>
            </w:r>
            <w:r w:rsidRPr="001764D1">
              <w:rPr>
                <w:rFonts w:ascii="Gadugi" w:hAnsi="Gadugi"/>
                <w:sz w:val="19"/>
                <w:szCs w:val="19"/>
                <w:lang w:val="en-GB"/>
              </w:rPr>
              <w:t xml:space="preserve"> to resolve the Dispute (</w:t>
            </w:r>
            <w:r w:rsidRPr="001764D1">
              <w:rPr>
                <w:rFonts w:ascii="Gadugi" w:hAnsi="Gadugi"/>
                <w:b/>
                <w:bCs/>
                <w:sz w:val="19"/>
                <w:szCs w:val="19"/>
                <w:lang w:val="en-GB"/>
              </w:rPr>
              <w:t>Notice of Dispute</w:t>
            </w:r>
            <w:r w:rsidRPr="001764D1">
              <w:rPr>
                <w:rFonts w:ascii="Gadugi" w:hAnsi="Gadugi"/>
                <w:sz w:val="19"/>
                <w:szCs w:val="19"/>
                <w:lang w:val="en-GB"/>
              </w:rPr>
              <w:t xml:space="preserve">). </w:t>
            </w:r>
          </w:p>
          <w:p w14:paraId="5EFEF879" w14:textId="77777777" w:rsidR="009311BB" w:rsidRPr="001764D1" w:rsidRDefault="009311BB" w:rsidP="009311BB">
            <w:pPr>
              <w:pStyle w:val="ListParagraph"/>
              <w:numPr>
                <w:ilvl w:val="0"/>
                <w:numId w:val="6"/>
              </w:numPr>
              <w:spacing w:before="120" w:after="120"/>
              <w:ind w:left="482" w:hanging="425"/>
              <w:contextualSpacing w:val="0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 xml:space="preserve">The Notice of Dispute must specify: </w:t>
            </w:r>
          </w:p>
          <w:p w14:paraId="768F21A8" w14:textId="77777777" w:rsidR="009311BB" w:rsidRPr="001764D1" w:rsidRDefault="009311BB" w:rsidP="009311BB">
            <w:pPr>
              <w:pStyle w:val="ListParagraph"/>
              <w:numPr>
                <w:ilvl w:val="1"/>
                <w:numId w:val="7"/>
              </w:numPr>
              <w:ind w:left="1043" w:hanging="567"/>
              <w:contextualSpacing w:val="0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 xml:space="preserve">the nature of the Dispute with reasonable particulars; </w:t>
            </w:r>
          </w:p>
          <w:p w14:paraId="6C0B12DB" w14:textId="77777777" w:rsidR="009311BB" w:rsidRPr="001764D1" w:rsidRDefault="009311BB" w:rsidP="009311BB">
            <w:pPr>
              <w:pStyle w:val="ListParagraph"/>
              <w:numPr>
                <w:ilvl w:val="1"/>
                <w:numId w:val="7"/>
              </w:numPr>
              <w:ind w:left="1043" w:hanging="567"/>
              <w:contextualSpacing w:val="0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the desired outcome of the Complainant; and</w:t>
            </w:r>
          </w:p>
          <w:p w14:paraId="7FDF39E4" w14:textId="77777777" w:rsidR="009311BB" w:rsidRPr="001764D1" w:rsidRDefault="009311BB" w:rsidP="009311BB">
            <w:pPr>
              <w:pStyle w:val="ListParagraph"/>
              <w:numPr>
                <w:ilvl w:val="1"/>
                <w:numId w:val="7"/>
              </w:numPr>
              <w:ind w:left="1043" w:hanging="567"/>
              <w:contextualSpacing w:val="0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reasoning as to why that outcome is just.</w:t>
            </w:r>
          </w:p>
          <w:p w14:paraId="31BCD40B" w14:textId="77777777" w:rsidR="009311BB" w:rsidRPr="001764D1" w:rsidRDefault="009311BB" w:rsidP="009311BB">
            <w:pPr>
              <w:pStyle w:val="ListParagraph"/>
              <w:numPr>
                <w:ilvl w:val="0"/>
                <w:numId w:val="6"/>
              </w:numPr>
              <w:spacing w:before="120"/>
              <w:ind w:left="479" w:hanging="425"/>
              <w:contextualSpacing w:val="0"/>
              <w:rPr>
                <w:rFonts w:ascii="Gadugi" w:hAnsi="Gadugi"/>
                <w:sz w:val="19"/>
                <w:szCs w:val="19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The Secretariat may liaise with the parties, individually or together, in order to facilitate an early resolution of the dispute.</w:t>
            </w:r>
          </w:p>
        </w:tc>
        <w:tc>
          <w:tcPr>
            <w:tcW w:w="2579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14:paraId="341F7959" w14:textId="77777777" w:rsidR="009311BB" w:rsidRPr="001764D1" w:rsidRDefault="009311BB" w:rsidP="00AB5795">
            <w:pPr>
              <w:spacing w:before="120"/>
              <w:rPr>
                <w:rFonts w:ascii="Gadugi" w:hAnsi="Gadugi"/>
                <w:b/>
                <w:bCs/>
                <w:i/>
                <w:iCs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As soon as practicable</w:t>
            </w:r>
          </w:p>
        </w:tc>
      </w:tr>
      <w:tr w:rsidR="009311BB" w:rsidRPr="001764D1" w14:paraId="6C5B02AB" w14:textId="77777777" w:rsidTr="00AB5795">
        <w:trPr>
          <w:trHeight w:val="1412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2534" w14:textId="77777777" w:rsidR="009311BB" w:rsidRPr="001764D1" w:rsidRDefault="009311BB" w:rsidP="00AB5795">
            <w:pPr>
              <w:spacing w:before="120"/>
              <w:jc w:val="center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2</w:t>
            </w:r>
          </w:p>
        </w:tc>
        <w:tc>
          <w:tcPr>
            <w:tcW w:w="6230" w:type="dxa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404040" w:themeColor="text1" w:themeTint="BF"/>
            </w:tcBorders>
          </w:tcPr>
          <w:p w14:paraId="5D702264" w14:textId="77777777" w:rsidR="009311BB" w:rsidRPr="001764D1" w:rsidRDefault="009311BB" w:rsidP="009311BB">
            <w:pPr>
              <w:pStyle w:val="ListParagraph"/>
              <w:numPr>
                <w:ilvl w:val="0"/>
                <w:numId w:val="7"/>
              </w:numPr>
              <w:spacing w:before="120" w:after="120"/>
              <w:ind w:left="482" w:hanging="425"/>
              <w:contextualSpacing w:val="0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The Respondent must give notice in writing (including by email) to:</w:t>
            </w:r>
          </w:p>
          <w:p w14:paraId="31E442C0" w14:textId="77777777" w:rsidR="009311BB" w:rsidRPr="001764D1" w:rsidRDefault="009311BB" w:rsidP="009311BB">
            <w:pPr>
              <w:pStyle w:val="ListParagraph"/>
              <w:numPr>
                <w:ilvl w:val="1"/>
                <w:numId w:val="7"/>
              </w:numPr>
              <w:ind w:left="1043" w:hanging="567"/>
              <w:contextualSpacing w:val="0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the Complainant; and</w:t>
            </w:r>
          </w:p>
          <w:p w14:paraId="1CE19339" w14:textId="77777777" w:rsidR="009311BB" w:rsidRPr="001764D1" w:rsidRDefault="009311BB" w:rsidP="009311BB">
            <w:pPr>
              <w:pStyle w:val="ListParagraph"/>
              <w:numPr>
                <w:ilvl w:val="1"/>
                <w:numId w:val="7"/>
              </w:numPr>
              <w:ind w:left="1043" w:hanging="567"/>
              <w:contextualSpacing w:val="0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the Secretariat,</w:t>
            </w:r>
          </w:p>
          <w:p w14:paraId="14D9B286" w14:textId="77777777" w:rsidR="009311BB" w:rsidRPr="001764D1" w:rsidRDefault="009311BB" w:rsidP="00AB5795">
            <w:pPr>
              <w:spacing w:before="120"/>
              <w:ind w:left="479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specifying:</w:t>
            </w:r>
          </w:p>
          <w:p w14:paraId="7EA276B9" w14:textId="77777777" w:rsidR="009311BB" w:rsidRPr="001764D1" w:rsidRDefault="009311BB" w:rsidP="009311BB">
            <w:pPr>
              <w:pStyle w:val="ListParagraph"/>
              <w:numPr>
                <w:ilvl w:val="0"/>
                <w:numId w:val="7"/>
              </w:numPr>
              <w:spacing w:before="120" w:after="120"/>
              <w:ind w:left="482" w:hanging="425"/>
              <w:contextualSpacing w:val="0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whether or not the Complainant’s desired outcome is agreed; and</w:t>
            </w:r>
          </w:p>
          <w:p w14:paraId="39B19251" w14:textId="77777777" w:rsidR="009311BB" w:rsidRPr="001764D1" w:rsidRDefault="009311BB" w:rsidP="009311BB">
            <w:pPr>
              <w:pStyle w:val="ListParagraph"/>
              <w:numPr>
                <w:ilvl w:val="1"/>
                <w:numId w:val="7"/>
              </w:numPr>
              <w:ind w:left="1128" w:hanging="532"/>
              <w:contextualSpacing w:val="0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if the desired outcome is not agreed:</w:t>
            </w:r>
          </w:p>
          <w:p w14:paraId="6C46F1AF" w14:textId="77777777" w:rsidR="009311BB" w:rsidRPr="001764D1" w:rsidRDefault="009311BB" w:rsidP="009311BB">
            <w:pPr>
              <w:pStyle w:val="ListParagraph"/>
              <w:numPr>
                <w:ilvl w:val="2"/>
                <w:numId w:val="7"/>
              </w:numPr>
              <w:ind w:left="1618" w:hanging="490"/>
              <w:contextualSpacing w:val="0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providing reasoning as to why the Complainant’s claim is not just; and</w:t>
            </w:r>
          </w:p>
          <w:p w14:paraId="78B2B29E" w14:textId="77777777" w:rsidR="009311BB" w:rsidRPr="001764D1" w:rsidRDefault="009311BB" w:rsidP="009311BB">
            <w:pPr>
              <w:pStyle w:val="ListParagraph"/>
              <w:numPr>
                <w:ilvl w:val="2"/>
                <w:numId w:val="7"/>
              </w:numPr>
              <w:ind w:left="1618" w:hanging="490"/>
              <w:contextualSpacing w:val="0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 xml:space="preserve">offering an alternative resolution (in the case where the Respondent wishes to offer another outcome). </w:t>
            </w:r>
          </w:p>
          <w:p w14:paraId="7A7B54E6" w14:textId="77777777" w:rsidR="009311BB" w:rsidRPr="001764D1" w:rsidRDefault="009311BB" w:rsidP="009311BB">
            <w:pPr>
              <w:pStyle w:val="ListParagraph"/>
              <w:numPr>
                <w:ilvl w:val="0"/>
                <w:numId w:val="7"/>
              </w:numPr>
              <w:spacing w:before="120"/>
              <w:ind w:left="582" w:hanging="574"/>
              <w:contextualSpacing w:val="0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The Secretariat may liaise with the parties, individually or together, in order to facilitate an early resolution of the dispute.</w:t>
            </w:r>
          </w:p>
        </w:tc>
        <w:tc>
          <w:tcPr>
            <w:tcW w:w="2579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14:paraId="68750558" w14:textId="77777777" w:rsidR="009311BB" w:rsidRPr="001764D1" w:rsidRDefault="009311BB" w:rsidP="00AB5795">
            <w:pPr>
              <w:spacing w:before="120"/>
              <w:jc w:val="left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sz w:val="19"/>
                <w:szCs w:val="19"/>
              </w:rPr>
              <w:t xml:space="preserve">Within 5 business days of receiving the Notice of Dispute </w:t>
            </w:r>
          </w:p>
        </w:tc>
      </w:tr>
      <w:tr w:rsidR="009311BB" w:rsidRPr="001764D1" w14:paraId="79F9519C" w14:textId="77777777" w:rsidTr="00AB5795">
        <w:trPr>
          <w:trHeight w:val="1695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411" w14:textId="77777777" w:rsidR="009311BB" w:rsidRPr="001764D1" w:rsidRDefault="009311BB" w:rsidP="00AB5795">
            <w:pPr>
              <w:spacing w:before="120"/>
              <w:jc w:val="center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3</w:t>
            </w:r>
          </w:p>
        </w:tc>
        <w:tc>
          <w:tcPr>
            <w:tcW w:w="6230" w:type="dxa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404040" w:themeColor="text1" w:themeTint="BF"/>
            </w:tcBorders>
          </w:tcPr>
          <w:p w14:paraId="727A3A62" w14:textId="77777777" w:rsidR="009311BB" w:rsidRPr="001764D1" w:rsidRDefault="009311BB" w:rsidP="00AB5795">
            <w:pPr>
              <w:spacing w:before="120"/>
              <w:ind w:left="22"/>
              <w:rPr>
                <w:rFonts w:ascii="Gadugi" w:hAnsi="Gadugi"/>
                <w:sz w:val="19"/>
                <w:szCs w:val="19"/>
              </w:rPr>
            </w:pPr>
            <w:r w:rsidRPr="001764D1">
              <w:rPr>
                <w:rFonts w:ascii="Gadugi" w:hAnsi="Gadugi"/>
                <w:sz w:val="19"/>
                <w:szCs w:val="19"/>
              </w:rPr>
              <w:t xml:space="preserve">If the parties have not resolved the Dispute, the Secretariat will, upon application of either party (after consulting with the parties): </w:t>
            </w:r>
          </w:p>
          <w:p w14:paraId="561EA555" w14:textId="77777777" w:rsidR="009311BB" w:rsidRPr="001764D1" w:rsidRDefault="009311BB" w:rsidP="009311BB">
            <w:pPr>
              <w:pStyle w:val="ListParagraph"/>
              <w:numPr>
                <w:ilvl w:val="0"/>
                <w:numId w:val="8"/>
              </w:numPr>
              <w:spacing w:before="120"/>
              <w:ind w:left="596" w:hanging="588"/>
              <w:contextualSpacing w:val="0"/>
              <w:rPr>
                <w:rFonts w:ascii="Gadugi" w:hAnsi="Gadugi"/>
                <w:sz w:val="19"/>
                <w:szCs w:val="19"/>
              </w:rPr>
            </w:pPr>
            <w:r w:rsidRPr="001764D1">
              <w:rPr>
                <w:rFonts w:ascii="Gadugi" w:hAnsi="Gadugi"/>
                <w:sz w:val="19"/>
                <w:szCs w:val="19"/>
              </w:rPr>
              <w:t xml:space="preserve">appoint an independent Conciliator from the list on </w:t>
            </w:r>
            <w:r>
              <w:rPr>
                <w:rFonts w:ascii="Gadugi" w:hAnsi="Gadugi"/>
                <w:sz w:val="19"/>
                <w:szCs w:val="19"/>
              </w:rPr>
              <w:t>AGW</w:t>
            </w:r>
            <w:r w:rsidRPr="001764D1">
              <w:rPr>
                <w:rFonts w:ascii="Gadugi" w:hAnsi="Gadugi"/>
                <w:sz w:val="19"/>
                <w:szCs w:val="19"/>
              </w:rPr>
              <w:t xml:space="preserve">’s </w:t>
            </w:r>
            <w:r>
              <w:rPr>
                <w:rFonts w:ascii="Gadugi" w:hAnsi="Gadugi"/>
                <w:sz w:val="19"/>
                <w:szCs w:val="19"/>
              </w:rPr>
              <w:t xml:space="preserve">code </w:t>
            </w:r>
            <w:r w:rsidRPr="001764D1">
              <w:rPr>
                <w:rFonts w:ascii="Gadugi" w:hAnsi="Gadugi"/>
                <w:sz w:val="19"/>
                <w:szCs w:val="19"/>
              </w:rPr>
              <w:t>website; and</w:t>
            </w:r>
          </w:p>
          <w:p w14:paraId="70B97EB9" w14:textId="77777777" w:rsidR="009311BB" w:rsidRPr="001764D1" w:rsidRDefault="009311BB" w:rsidP="009311BB">
            <w:pPr>
              <w:pStyle w:val="ListParagraph"/>
              <w:numPr>
                <w:ilvl w:val="0"/>
                <w:numId w:val="8"/>
              </w:numPr>
              <w:spacing w:before="120"/>
              <w:ind w:left="596" w:hanging="588"/>
              <w:contextualSpacing w:val="0"/>
              <w:rPr>
                <w:rFonts w:ascii="Gadugi" w:hAnsi="Gadugi"/>
                <w:sz w:val="19"/>
                <w:szCs w:val="19"/>
              </w:rPr>
            </w:pPr>
            <w:r w:rsidRPr="001764D1">
              <w:rPr>
                <w:rFonts w:ascii="Gadugi" w:hAnsi="Gadugi"/>
                <w:sz w:val="19"/>
                <w:szCs w:val="19"/>
              </w:rPr>
              <w:t xml:space="preserve">select a Conciliation Body to administer the conciliation from the list on </w:t>
            </w:r>
            <w:r>
              <w:rPr>
                <w:rFonts w:ascii="Gadugi" w:hAnsi="Gadugi"/>
                <w:sz w:val="19"/>
                <w:szCs w:val="19"/>
              </w:rPr>
              <w:t>AGW</w:t>
            </w:r>
            <w:r w:rsidRPr="001764D1">
              <w:rPr>
                <w:rFonts w:ascii="Gadugi" w:hAnsi="Gadugi"/>
                <w:sz w:val="19"/>
                <w:szCs w:val="19"/>
              </w:rPr>
              <w:t xml:space="preserve">’s </w:t>
            </w:r>
            <w:r>
              <w:rPr>
                <w:rFonts w:ascii="Gadugi" w:hAnsi="Gadugi"/>
                <w:sz w:val="19"/>
                <w:szCs w:val="19"/>
              </w:rPr>
              <w:t xml:space="preserve">code </w:t>
            </w:r>
            <w:r w:rsidRPr="001764D1">
              <w:rPr>
                <w:rFonts w:ascii="Gadugi" w:hAnsi="Gadugi"/>
                <w:sz w:val="19"/>
                <w:szCs w:val="19"/>
              </w:rPr>
              <w:t>website.</w:t>
            </w:r>
          </w:p>
        </w:tc>
        <w:tc>
          <w:tcPr>
            <w:tcW w:w="2579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14:paraId="173F7F0A" w14:textId="77777777" w:rsidR="009311BB" w:rsidRPr="001764D1" w:rsidRDefault="009311BB" w:rsidP="00AB5795">
            <w:pPr>
              <w:spacing w:before="120"/>
              <w:jc w:val="left"/>
              <w:rPr>
                <w:rFonts w:ascii="Gadugi" w:hAnsi="Gadugi"/>
                <w:sz w:val="19"/>
                <w:szCs w:val="19"/>
              </w:rPr>
            </w:pPr>
            <w:r w:rsidRPr="001764D1">
              <w:rPr>
                <w:rFonts w:ascii="Gadugi" w:hAnsi="Gadugi"/>
                <w:sz w:val="19"/>
                <w:szCs w:val="19"/>
              </w:rPr>
              <w:t>Within 3 business days from application of either party</w:t>
            </w:r>
          </w:p>
        </w:tc>
      </w:tr>
      <w:tr w:rsidR="009311BB" w:rsidRPr="001764D1" w14:paraId="045C98D7" w14:textId="77777777" w:rsidTr="00AB5795">
        <w:trPr>
          <w:trHeight w:val="841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C99A" w14:textId="77777777" w:rsidR="009311BB" w:rsidRPr="001764D1" w:rsidRDefault="009311BB" w:rsidP="00AB5795">
            <w:pPr>
              <w:spacing w:before="120"/>
              <w:jc w:val="center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4</w:t>
            </w:r>
          </w:p>
        </w:tc>
        <w:tc>
          <w:tcPr>
            <w:tcW w:w="6230" w:type="dxa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404040" w:themeColor="text1" w:themeTint="BF"/>
            </w:tcBorders>
          </w:tcPr>
          <w:p w14:paraId="218F0392" w14:textId="77777777" w:rsidR="009311BB" w:rsidRPr="001764D1" w:rsidRDefault="009311BB" w:rsidP="009311BB">
            <w:pPr>
              <w:pStyle w:val="ListParagraph"/>
              <w:numPr>
                <w:ilvl w:val="0"/>
                <w:numId w:val="9"/>
              </w:numPr>
              <w:spacing w:before="120"/>
              <w:ind w:left="567" w:hanging="567"/>
              <w:contextualSpacing w:val="0"/>
              <w:rPr>
                <w:rFonts w:ascii="Gadugi" w:hAnsi="Gadugi"/>
                <w:sz w:val="19"/>
                <w:szCs w:val="19"/>
              </w:rPr>
            </w:pPr>
            <w:r w:rsidRPr="001764D1">
              <w:rPr>
                <w:rFonts w:ascii="Gadugi" w:hAnsi="Gadugi"/>
                <w:sz w:val="19"/>
                <w:szCs w:val="19"/>
              </w:rPr>
              <w:t xml:space="preserve">The Conciliator will determine the time and date for the conciliation. </w:t>
            </w:r>
          </w:p>
          <w:p w14:paraId="0688BDCD" w14:textId="77777777" w:rsidR="009311BB" w:rsidRPr="001764D1" w:rsidRDefault="009311BB" w:rsidP="009311BB">
            <w:pPr>
              <w:pStyle w:val="ListParagraph"/>
              <w:numPr>
                <w:ilvl w:val="0"/>
                <w:numId w:val="9"/>
              </w:numPr>
              <w:spacing w:before="120"/>
              <w:ind w:left="567" w:hanging="567"/>
              <w:contextualSpacing w:val="0"/>
              <w:rPr>
                <w:rFonts w:ascii="Gadugi" w:hAnsi="Gadugi"/>
                <w:sz w:val="19"/>
                <w:szCs w:val="19"/>
              </w:rPr>
            </w:pPr>
            <w:r w:rsidRPr="001764D1">
              <w:rPr>
                <w:rFonts w:ascii="Gadugi" w:hAnsi="Gadugi"/>
                <w:sz w:val="19"/>
                <w:szCs w:val="19"/>
              </w:rPr>
              <w:t>The conciliation will be conducted under the administration of the selected Conciliation Body, in accordance with the conciliation rules of that body (as amended by the parties).</w:t>
            </w:r>
          </w:p>
        </w:tc>
        <w:tc>
          <w:tcPr>
            <w:tcW w:w="2579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14:paraId="46E61912" w14:textId="77777777" w:rsidR="009311BB" w:rsidRPr="001764D1" w:rsidRDefault="009311BB" w:rsidP="00AB5795">
            <w:pPr>
              <w:spacing w:before="120"/>
              <w:jc w:val="left"/>
              <w:rPr>
                <w:rFonts w:ascii="Gadugi" w:hAnsi="Gadugi"/>
                <w:sz w:val="19"/>
                <w:szCs w:val="19"/>
              </w:rPr>
            </w:pPr>
            <w:r w:rsidRPr="001764D1">
              <w:rPr>
                <w:rFonts w:ascii="Gadugi" w:hAnsi="Gadugi"/>
                <w:sz w:val="19"/>
                <w:szCs w:val="19"/>
              </w:rPr>
              <w:t xml:space="preserve">Within 3 business days of the matter being referred to conciliation under Step 3, or within such other </w:t>
            </w:r>
            <w:proofErr w:type="gramStart"/>
            <w:r w:rsidRPr="001764D1">
              <w:rPr>
                <w:rFonts w:ascii="Gadugi" w:hAnsi="Gadugi"/>
                <w:sz w:val="19"/>
                <w:szCs w:val="19"/>
              </w:rPr>
              <w:t>time-frame</w:t>
            </w:r>
            <w:proofErr w:type="gramEnd"/>
            <w:r w:rsidRPr="001764D1">
              <w:rPr>
                <w:rFonts w:ascii="Gadugi" w:hAnsi="Gadugi"/>
                <w:sz w:val="19"/>
                <w:szCs w:val="19"/>
              </w:rPr>
              <w:t xml:space="preserve"> as the parties and the Conciliator agree.</w:t>
            </w:r>
          </w:p>
        </w:tc>
      </w:tr>
      <w:tr w:rsidR="009311BB" w:rsidRPr="001764D1" w14:paraId="75E50DB1" w14:textId="77777777" w:rsidTr="00AB5795">
        <w:trPr>
          <w:trHeight w:val="841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26A7" w14:textId="77777777" w:rsidR="009311BB" w:rsidRPr="001764D1" w:rsidRDefault="009311BB" w:rsidP="00AB5795">
            <w:pPr>
              <w:spacing w:before="120"/>
              <w:jc w:val="center"/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</w:pPr>
            <w:r w:rsidRPr="001764D1">
              <w:rPr>
                <w:rFonts w:ascii="Gadugi" w:hAnsi="Gadugi"/>
                <w:color w:val="000000" w:themeColor="text1"/>
                <w:sz w:val="19"/>
                <w:szCs w:val="19"/>
                <w:lang w:val="en-GB"/>
              </w:rPr>
              <w:t>5</w:t>
            </w:r>
          </w:p>
        </w:tc>
        <w:tc>
          <w:tcPr>
            <w:tcW w:w="6230" w:type="dxa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404040" w:themeColor="text1" w:themeTint="BF"/>
            </w:tcBorders>
          </w:tcPr>
          <w:p w14:paraId="56B7B77F" w14:textId="77777777" w:rsidR="009311BB" w:rsidRPr="001764D1" w:rsidRDefault="009311BB" w:rsidP="00AB5795">
            <w:pPr>
              <w:spacing w:before="120"/>
              <w:ind w:left="123"/>
              <w:rPr>
                <w:rFonts w:ascii="Gadugi" w:hAnsi="Gadugi"/>
                <w:sz w:val="19"/>
                <w:szCs w:val="19"/>
              </w:rPr>
            </w:pPr>
            <w:r w:rsidRPr="001764D1">
              <w:rPr>
                <w:rFonts w:ascii="Gadugi" w:hAnsi="Gadugi"/>
                <w:sz w:val="19"/>
                <w:szCs w:val="19"/>
              </w:rPr>
              <w:t>The parties shall endeavour to resolve the Dispute with the assistance of the Conciliator, in accordance with the conciliation rules.</w:t>
            </w:r>
          </w:p>
        </w:tc>
        <w:tc>
          <w:tcPr>
            <w:tcW w:w="2579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14:paraId="61077374" w14:textId="77777777" w:rsidR="009311BB" w:rsidRPr="001764D1" w:rsidRDefault="009311BB" w:rsidP="00AB5795">
            <w:pPr>
              <w:spacing w:before="120"/>
              <w:jc w:val="left"/>
              <w:rPr>
                <w:rFonts w:ascii="Gadugi" w:hAnsi="Gadugi"/>
                <w:sz w:val="19"/>
                <w:szCs w:val="19"/>
              </w:rPr>
            </w:pPr>
            <w:r w:rsidRPr="001764D1">
              <w:rPr>
                <w:rFonts w:ascii="Gadugi" w:hAnsi="Gadugi"/>
                <w:sz w:val="19"/>
                <w:szCs w:val="19"/>
              </w:rPr>
              <w:t xml:space="preserve">Within the </w:t>
            </w:r>
            <w:proofErr w:type="gramStart"/>
            <w:r w:rsidRPr="001764D1">
              <w:rPr>
                <w:rFonts w:ascii="Gadugi" w:hAnsi="Gadugi"/>
                <w:sz w:val="19"/>
                <w:szCs w:val="19"/>
              </w:rPr>
              <w:t>time-frame</w:t>
            </w:r>
            <w:proofErr w:type="gramEnd"/>
            <w:r w:rsidRPr="001764D1">
              <w:rPr>
                <w:rFonts w:ascii="Gadugi" w:hAnsi="Gadugi"/>
                <w:sz w:val="19"/>
                <w:szCs w:val="19"/>
              </w:rPr>
              <w:t xml:space="preserve"> determined under Step 4.</w:t>
            </w:r>
          </w:p>
        </w:tc>
      </w:tr>
    </w:tbl>
    <w:p w14:paraId="5DBF84E6" w14:textId="77777777" w:rsidR="0064042D" w:rsidRDefault="0064042D" w:rsidP="0064042D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5A56C8" wp14:editId="7FBFE75B">
            <wp:simplePos x="0" y="0"/>
            <wp:positionH relativeFrom="page">
              <wp:posOffset>32385</wp:posOffset>
            </wp:positionH>
            <wp:positionV relativeFrom="page">
              <wp:posOffset>20955</wp:posOffset>
            </wp:positionV>
            <wp:extent cx="7552800" cy="979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GW_WC-report-inner-hea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bookmarkEnd w:id="2"/>
      <w:bookmarkEnd w:id="3"/>
    </w:p>
    <w:sectPr w:rsidR="0064042D" w:rsidSect="0064042D">
      <w:headerReference w:type="default" r:id="rId8"/>
      <w:pgSz w:w="11906" w:h="16838"/>
      <w:pgMar w:top="1701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B92A4" w14:textId="77777777" w:rsidR="007E280A" w:rsidRDefault="007E280A" w:rsidP="0064042D">
      <w:r>
        <w:separator/>
      </w:r>
    </w:p>
  </w:endnote>
  <w:endnote w:type="continuationSeparator" w:id="0">
    <w:p w14:paraId="24DDFDB1" w14:textId="77777777" w:rsidR="007E280A" w:rsidRDefault="007E280A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40C79" w14:textId="77777777" w:rsidR="007E280A" w:rsidRDefault="007E280A" w:rsidP="0064042D">
      <w:r>
        <w:separator/>
      </w:r>
    </w:p>
  </w:footnote>
  <w:footnote w:type="continuationSeparator" w:id="0">
    <w:p w14:paraId="67D14021" w14:textId="77777777" w:rsidR="007E280A" w:rsidRDefault="007E280A" w:rsidP="0064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C361B" w14:textId="77777777" w:rsidR="0064042D" w:rsidRDefault="0064042D" w:rsidP="0064042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34AFB5" wp14:editId="11457D03">
          <wp:simplePos x="0" y="0"/>
          <wp:positionH relativeFrom="page">
            <wp:posOffset>32385</wp:posOffset>
          </wp:positionH>
          <wp:positionV relativeFrom="page">
            <wp:posOffset>20955</wp:posOffset>
          </wp:positionV>
          <wp:extent cx="7552800" cy="979200"/>
          <wp:effectExtent l="0" t="0" r="3810" b="0"/>
          <wp:wrapNone/>
          <wp:docPr id="4105" name="Picture 4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GW_W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F277F9" w14:textId="77777777" w:rsidR="0064042D" w:rsidRDefault="00640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96C61"/>
    <w:multiLevelType w:val="hybridMultilevel"/>
    <w:tmpl w:val="23EEB806"/>
    <w:lvl w:ilvl="0" w:tplc="4DE47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8D8202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5">
      <w:start w:val="1"/>
      <w:numFmt w:val="upperLetter"/>
      <w:lvlText w:val="%3."/>
      <w:lvlJc w:val="lef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6E81"/>
    <w:multiLevelType w:val="hybridMultilevel"/>
    <w:tmpl w:val="23EEB806"/>
    <w:lvl w:ilvl="0" w:tplc="4DE47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8D8202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5">
      <w:start w:val="1"/>
      <w:numFmt w:val="upperLetter"/>
      <w:lvlText w:val="%3."/>
      <w:lvlJc w:val="lef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55126"/>
    <w:multiLevelType w:val="hybridMultilevel"/>
    <w:tmpl w:val="23EEB806"/>
    <w:lvl w:ilvl="0" w:tplc="4DE47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8D8202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5">
      <w:start w:val="1"/>
      <w:numFmt w:val="upperLetter"/>
      <w:lvlText w:val="%3."/>
      <w:lvlJc w:val="lef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A6A1F"/>
    <w:multiLevelType w:val="hybridMultilevel"/>
    <w:tmpl w:val="23EEB806"/>
    <w:lvl w:ilvl="0" w:tplc="4DE47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8D8202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5">
      <w:start w:val="1"/>
      <w:numFmt w:val="upperLetter"/>
      <w:lvlText w:val="%3."/>
      <w:lvlJc w:val="lef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29D4"/>
    <w:multiLevelType w:val="hybridMultilevel"/>
    <w:tmpl w:val="23EEB806"/>
    <w:lvl w:ilvl="0" w:tplc="4DE47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8D8202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5">
      <w:start w:val="1"/>
      <w:numFmt w:val="upperLetter"/>
      <w:lvlText w:val="%3."/>
      <w:lvlJc w:val="lef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74CD"/>
    <w:multiLevelType w:val="multilevel"/>
    <w:tmpl w:val="653C0852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b/>
        <w:bCs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18"/>
        </w:tabs>
        <w:ind w:left="1418" w:hanging="709"/>
      </w:pPr>
      <w:rPr>
        <w:rFonts w:ascii="Gadugi" w:eastAsia="Times New Roman" w:hAnsi="Gadugi" w:cs="Arial" w:hint="default"/>
        <w:b w:val="0"/>
        <w:bCs/>
        <w:sz w:val="20"/>
        <w:szCs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418"/>
        </w:tabs>
        <w:ind w:left="1418" w:hanging="708"/>
      </w:p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Heading6"/>
      <w:lvlText w:val="(%6)"/>
      <w:lvlJc w:val="left"/>
      <w:pPr>
        <w:tabs>
          <w:tab w:val="num" w:pos="3549"/>
        </w:tabs>
        <w:ind w:left="3549" w:hanging="714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</w:lvl>
  </w:abstractNum>
  <w:abstractNum w:abstractNumId="6" w15:restartNumberingAfterBreak="0">
    <w:nsid w:val="4855327F"/>
    <w:multiLevelType w:val="hybridMultilevel"/>
    <w:tmpl w:val="23EEB806"/>
    <w:lvl w:ilvl="0" w:tplc="4DE47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8D8202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5">
      <w:start w:val="1"/>
      <w:numFmt w:val="upperLetter"/>
      <w:lvlText w:val="%3."/>
      <w:lvlJc w:val="lef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00826"/>
    <w:multiLevelType w:val="hybridMultilevel"/>
    <w:tmpl w:val="7B68AB78"/>
    <w:lvl w:ilvl="0" w:tplc="98D8202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C4DC7"/>
    <w:multiLevelType w:val="hybridMultilevel"/>
    <w:tmpl w:val="23EEB806"/>
    <w:lvl w:ilvl="0" w:tplc="4DE47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8D8202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5">
      <w:start w:val="1"/>
      <w:numFmt w:val="upperLetter"/>
      <w:lvlText w:val="%3."/>
      <w:lvlJc w:val="lef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2D"/>
    <w:rsid w:val="0064042D"/>
    <w:rsid w:val="007E280A"/>
    <w:rsid w:val="009311BB"/>
    <w:rsid w:val="00D42EFB"/>
    <w:rsid w:val="00DC1E19"/>
    <w:rsid w:val="00F4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7B35"/>
  <w15:chartTrackingRefBased/>
  <w15:docId w15:val="{053C3CCC-2368-4B12-952A-7AE5E2D1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2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AU"/>
    </w:rPr>
  </w:style>
  <w:style w:type="paragraph" w:styleId="Heading1">
    <w:name w:val="heading 1"/>
    <w:aliases w:val="No numbers"/>
    <w:basedOn w:val="Normal"/>
    <w:next w:val="Heading2"/>
    <w:link w:val="Heading1Char"/>
    <w:qFormat/>
    <w:rsid w:val="0064042D"/>
    <w:pPr>
      <w:keepNext/>
      <w:numPr>
        <w:numId w:val="1"/>
      </w:numPr>
      <w:pBdr>
        <w:bottom w:val="single" w:sz="4" w:space="3" w:color="auto"/>
      </w:pBdr>
      <w:spacing w:before="480"/>
      <w:outlineLvl w:val="0"/>
    </w:pPr>
    <w:rPr>
      <w:b/>
      <w:sz w:val="28"/>
    </w:rPr>
  </w:style>
  <w:style w:type="paragraph" w:styleId="Heading2">
    <w:name w:val="heading 2"/>
    <w:basedOn w:val="Normal"/>
    <w:next w:val="NormalIndent"/>
    <w:link w:val="Heading2Char"/>
    <w:qFormat/>
    <w:rsid w:val="0064042D"/>
    <w:pPr>
      <w:keepNext/>
      <w:numPr>
        <w:ilvl w:val="1"/>
        <w:numId w:val="1"/>
      </w:numPr>
      <w:spacing w:before="240"/>
      <w:outlineLvl w:val="1"/>
    </w:pPr>
    <w:rPr>
      <w:b/>
      <w:sz w:val="24"/>
    </w:rPr>
  </w:style>
  <w:style w:type="paragraph" w:styleId="Heading3">
    <w:name w:val="heading 3"/>
    <w:basedOn w:val="Normal"/>
    <w:link w:val="Heading3Char"/>
    <w:qFormat/>
    <w:rsid w:val="0064042D"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link w:val="Heading4Char"/>
    <w:qFormat/>
    <w:rsid w:val="0064042D"/>
    <w:pPr>
      <w:numPr>
        <w:ilvl w:val="3"/>
        <w:numId w:val="1"/>
      </w:numPr>
      <w:tabs>
        <w:tab w:val="clear" w:pos="1418"/>
        <w:tab w:val="num" w:pos="2126"/>
      </w:tabs>
      <w:spacing w:before="120"/>
      <w:ind w:left="2126"/>
      <w:outlineLvl w:val="3"/>
    </w:pPr>
  </w:style>
  <w:style w:type="paragraph" w:styleId="Heading5">
    <w:name w:val="heading 5"/>
    <w:basedOn w:val="Normal"/>
    <w:link w:val="Heading5Char"/>
    <w:qFormat/>
    <w:rsid w:val="0064042D"/>
    <w:pPr>
      <w:numPr>
        <w:ilvl w:val="4"/>
        <w:numId w:val="1"/>
      </w:numPr>
      <w:spacing w:before="120"/>
      <w:outlineLvl w:val="4"/>
    </w:pPr>
  </w:style>
  <w:style w:type="paragraph" w:styleId="Heading6">
    <w:name w:val="heading 6"/>
    <w:basedOn w:val="Normal"/>
    <w:link w:val="Heading6Char"/>
    <w:qFormat/>
    <w:rsid w:val="0064042D"/>
    <w:pPr>
      <w:numPr>
        <w:ilvl w:val="5"/>
        <w:numId w:val="1"/>
      </w:numPr>
      <w:spacing w:before="12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"/>
    <w:basedOn w:val="DefaultParagraphFont"/>
    <w:link w:val="Heading1"/>
    <w:rsid w:val="0064042D"/>
    <w:rPr>
      <w:rFonts w:ascii="Arial" w:eastAsia="Times New Roman" w:hAnsi="Arial" w:cs="Arial"/>
      <w:b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64042D"/>
    <w:rPr>
      <w:rFonts w:ascii="Arial" w:eastAsia="Times New Roman" w:hAnsi="Arial" w:cs="Arial"/>
      <w:b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64042D"/>
    <w:rPr>
      <w:rFonts w:ascii="Arial" w:eastAsia="Times New Roman" w:hAnsi="Arial" w:cs="Arial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64042D"/>
    <w:rPr>
      <w:rFonts w:ascii="Arial" w:eastAsia="Times New Roman" w:hAnsi="Arial" w:cs="Arial"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64042D"/>
    <w:rPr>
      <w:rFonts w:ascii="Arial" w:eastAsia="Times New Roman" w:hAnsi="Arial" w:cs="Arial"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64042D"/>
    <w:rPr>
      <w:rFonts w:ascii="Arial" w:eastAsia="Times New Roman" w:hAnsi="Arial" w:cs="Arial"/>
      <w:sz w:val="20"/>
      <w:szCs w:val="20"/>
      <w:lang w:eastAsia="en-AU"/>
    </w:rPr>
  </w:style>
  <w:style w:type="paragraph" w:styleId="ListParagraph">
    <w:name w:val="List Paragraph"/>
    <w:aliases w:val="DdeM List Paragraph,Bullet Level 1,List Paragraph1,Recommendation,List Paragraph11,NFP GP Bulleted List,Bullets"/>
    <w:basedOn w:val="Normal"/>
    <w:link w:val="ListParagraphChar"/>
    <w:uiPriority w:val="34"/>
    <w:qFormat/>
    <w:rsid w:val="0064042D"/>
    <w:pPr>
      <w:ind w:left="720"/>
      <w:contextualSpacing/>
    </w:pPr>
  </w:style>
  <w:style w:type="table" w:styleId="TableGrid">
    <w:name w:val="Table Grid"/>
    <w:basedOn w:val="TableNormal"/>
    <w:uiPriority w:val="59"/>
    <w:rsid w:val="0064042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deM List Paragraph Char,Bullet Level 1 Char,List Paragraph1 Char,Recommendation Char,List Paragraph11 Char,NFP GP Bulleted List Char,Bullets Char"/>
    <w:link w:val="ListParagraph"/>
    <w:uiPriority w:val="34"/>
    <w:rsid w:val="0064042D"/>
    <w:rPr>
      <w:rFonts w:ascii="Arial" w:eastAsia="Times New Roman" w:hAnsi="Arial" w:cs="Arial"/>
      <w:sz w:val="20"/>
      <w:szCs w:val="20"/>
      <w:lang w:eastAsia="en-AU"/>
    </w:rPr>
  </w:style>
  <w:style w:type="paragraph" w:styleId="NormalIndent">
    <w:name w:val="Normal Indent"/>
    <w:basedOn w:val="Normal"/>
    <w:uiPriority w:val="99"/>
    <w:semiHidden/>
    <w:unhideWhenUsed/>
    <w:rsid w:val="0064042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04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42D"/>
    <w:rPr>
      <w:rFonts w:ascii="Arial" w:eastAsia="Times New Roman" w:hAnsi="Arial" w:cs="Arial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40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42D"/>
    <w:rPr>
      <w:rFonts w:ascii="Arial" w:eastAsia="Times New Roman" w:hAnsi="Arial" w:cs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Cecily Zhu</dc:creator>
  <cp:keywords/>
  <dc:description/>
  <cp:lastModifiedBy>Anthony Caruso</cp:lastModifiedBy>
  <cp:revision>2</cp:revision>
  <dcterms:created xsi:type="dcterms:W3CDTF">2022-05-06T04:07:00Z</dcterms:created>
  <dcterms:modified xsi:type="dcterms:W3CDTF">2022-05-06T04:07:00Z</dcterms:modified>
</cp:coreProperties>
</file>