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53E9F" w14:textId="77777777" w:rsidR="00271C7A" w:rsidRDefault="00271C7A" w:rsidP="005D1C11">
      <w:pPr>
        <w:pStyle w:val="BodyText1"/>
        <w:ind w:left="284" w:right="277"/>
        <w:rPr>
          <w:rFonts w:ascii="Gadugi" w:hAnsi="Gadugi" w:cs="AGaramondPro-Bold"/>
          <w:bCs/>
          <w:color w:val="000000"/>
          <w:sz w:val="22"/>
          <w:szCs w:val="22"/>
        </w:rPr>
      </w:pPr>
    </w:p>
    <w:p w14:paraId="40684931" w14:textId="77777777" w:rsidR="00271C7A" w:rsidRPr="005E62D7" w:rsidRDefault="00271C7A" w:rsidP="005D1C11">
      <w:pPr>
        <w:pStyle w:val="BodyText1"/>
        <w:ind w:left="284" w:right="277"/>
        <w:rPr>
          <w:rFonts w:ascii="Gadugi" w:hAnsi="Gadugi" w:cs="AGaramondPro-Bold"/>
          <w:bCs/>
          <w:color w:val="000000"/>
          <w:sz w:val="22"/>
          <w:szCs w:val="22"/>
        </w:rPr>
        <w:sectPr w:rsidR="00271C7A" w:rsidRPr="005E62D7" w:rsidSect="005D1C11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905" w:right="703" w:bottom="1134" w:left="567" w:header="709" w:footer="1253" w:gutter="0"/>
          <w:cols w:num="3" w:space="708"/>
          <w:titlePg/>
          <w:docGrid w:linePitch="326"/>
        </w:sectPr>
      </w:pPr>
    </w:p>
    <w:p w14:paraId="3D2E1583" w14:textId="2C1BB78F" w:rsidR="00676888" w:rsidRDefault="00676888" w:rsidP="00857D1C">
      <w:pPr>
        <w:pStyle w:val="AGWbodytext"/>
      </w:pPr>
    </w:p>
    <w:p w14:paraId="59FC1B62" w14:textId="77777777" w:rsidR="00786AD7" w:rsidRPr="00786AD7" w:rsidRDefault="00786AD7" w:rsidP="00786AD7">
      <w:pPr>
        <w:pStyle w:val="AGWbodytext"/>
        <w:rPr>
          <w:b/>
          <w:bCs/>
          <w:color w:val="92D050"/>
          <w:sz w:val="24"/>
          <w:szCs w:val="24"/>
          <w:lang w:val="en-AU"/>
        </w:rPr>
      </w:pPr>
      <w:r w:rsidRPr="00786AD7">
        <w:rPr>
          <w:b/>
          <w:bCs/>
          <w:color w:val="92D050"/>
          <w:sz w:val="24"/>
          <w:szCs w:val="24"/>
          <w:lang w:val="en-AU"/>
        </w:rPr>
        <w:t>Key Talking Points for State and Regional Associations</w:t>
      </w:r>
    </w:p>
    <w:p w14:paraId="44FEE410" w14:textId="77777777" w:rsidR="00786AD7" w:rsidRDefault="00786AD7" w:rsidP="00786AD7">
      <w:pPr>
        <w:pStyle w:val="AGWbodytext"/>
        <w:rPr>
          <w:b/>
          <w:bCs/>
          <w:lang w:val="en-AU"/>
        </w:rPr>
      </w:pPr>
    </w:p>
    <w:p w14:paraId="37B356A5" w14:textId="0E49EC67" w:rsidR="00786AD7" w:rsidRPr="00786AD7" w:rsidRDefault="00786AD7" w:rsidP="00786AD7">
      <w:pPr>
        <w:pStyle w:val="AGWbodytext"/>
        <w:rPr>
          <w:b/>
          <w:bCs/>
          <w:lang w:val="en-AU"/>
        </w:rPr>
      </w:pPr>
      <w:r w:rsidRPr="00786AD7">
        <w:rPr>
          <w:b/>
          <w:bCs/>
          <w:lang w:val="en-AU"/>
        </w:rPr>
        <w:t>Key Talking Points for Discussions with MPs /Local Media</w:t>
      </w:r>
    </w:p>
    <w:p w14:paraId="760FBBD3" w14:textId="77777777" w:rsidR="00786AD7" w:rsidRPr="00786AD7" w:rsidRDefault="00786AD7" w:rsidP="00786AD7">
      <w:pPr>
        <w:pStyle w:val="AGWbodytext"/>
        <w:numPr>
          <w:ilvl w:val="0"/>
          <w:numId w:val="2"/>
        </w:numPr>
        <w:rPr>
          <w:lang w:val="en-AU"/>
        </w:rPr>
      </w:pPr>
      <w:r w:rsidRPr="00786AD7">
        <w:rPr>
          <w:b/>
          <w:bCs/>
          <w:lang w:val="en-AU"/>
        </w:rPr>
        <w:t>Australian wine is a regional success story</w:t>
      </w:r>
      <w:r w:rsidRPr="00786AD7">
        <w:rPr>
          <w:lang w:val="en-AU"/>
        </w:rPr>
        <w:t>, but we’re at a crossroads. Our sector drives economic activity, supports thousands of jobs, and is a key contributor to regional communities. But without targeted support, many businesses will struggle to stay viable.</w:t>
      </w:r>
    </w:p>
    <w:p w14:paraId="54A57D38" w14:textId="77777777" w:rsidR="00786AD7" w:rsidRPr="00786AD7" w:rsidRDefault="00786AD7" w:rsidP="00786AD7">
      <w:pPr>
        <w:pStyle w:val="AGWbodytext"/>
        <w:numPr>
          <w:ilvl w:val="0"/>
          <w:numId w:val="2"/>
        </w:numPr>
        <w:rPr>
          <w:lang w:val="en-AU"/>
        </w:rPr>
      </w:pPr>
      <w:r w:rsidRPr="00786AD7">
        <w:rPr>
          <w:b/>
          <w:bCs/>
          <w:lang w:val="en-AU"/>
        </w:rPr>
        <w:t>The industry is under serious pressure</w:t>
      </w:r>
      <w:r w:rsidRPr="00786AD7">
        <w:rPr>
          <w:lang w:val="en-AU"/>
        </w:rPr>
        <w:t>. Wine businesses are dealing with rising energy, freight, and labour costs, as well as ongoing trade uncertainty. We need smart policy decisions to help stabilise the sector.</w:t>
      </w:r>
    </w:p>
    <w:p w14:paraId="6BC1B903" w14:textId="77777777" w:rsidR="00786AD7" w:rsidRPr="00786AD7" w:rsidRDefault="00786AD7" w:rsidP="00786AD7">
      <w:pPr>
        <w:pStyle w:val="AGWbodytext"/>
        <w:numPr>
          <w:ilvl w:val="0"/>
          <w:numId w:val="2"/>
        </w:numPr>
        <w:rPr>
          <w:lang w:val="en-AU"/>
        </w:rPr>
      </w:pPr>
      <w:r w:rsidRPr="00786AD7">
        <w:rPr>
          <w:b/>
          <w:bCs/>
          <w:lang w:val="en-AU"/>
        </w:rPr>
        <w:t>Expanding exports is critical</w:t>
      </w:r>
      <w:r w:rsidRPr="00786AD7">
        <w:rPr>
          <w:lang w:val="en-AU"/>
        </w:rPr>
        <w:t>. Our wine producers need better access to global markets to reduce oversupply and strengthen demand for Australian wine. That’s why we’re calling for a $78 million investment over three years in an export market stimulus package.</w:t>
      </w:r>
    </w:p>
    <w:p w14:paraId="01E3A8F8" w14:textId="77777777" w:rsidR="00786AD7" w:rsidRPr="00786AD7" w:rsidRDefault="00786AD7" w:rsidP="00786AD7">
      <w:pPr>
        <w:pStyle w:val="AGWbodytext"/>
        <w:numPr>
          <w:ilvl w:val="0"/>
          <w:numId w:val="2"/>
        </w:numPr>
        <w:rPr>
          <w:lang w:val="en-AU"/>
        </w:rPr>
      </w:pPr>
      <w:r w:rsidRPr="00786AD7">
        <w:rPr>
          <w:b/>
          <w:bCs/>
          <w:lang w:val="en-AU"/>
        </w:rPr>
        <w:t>Sustainability is not optional—it’s urgent</w:t>
      </w:r>
      <w:r w:rsidRPr="00786AD7">
        <w:rPr>
          <w:lang w:val="en-AU"/>
        </w:rPr>
        <w:t>. Without intervention, vineyard abandonment could become a major issue, leading to biosecurity threats and long-term economic damage. A $30 million sustainability support package would help keep vineyards productive and protect our wine regions.</w:t>
      </w:r>
    </w:p>
    <w:p w14:paraId="15D5F5C2" w14:textId="77777777" w:rsidR="00786AD7" w:rsidRPr="00786AD7" w:rsidRDefault="00786AD7" w:rsidP="00786AD7">
      <w:pPr>
        <w:pStyle w:val="AGWbodytext"/>
        <w:numPr>
          <w:ilvl w:val="0"/>
          <w:numId w:val="2"/>
        </w:numPr>
        <w:rPr>
          <w:lang w:val="en-AU"/>
        </w:rPr>
      </w:pPr>
      <w:r w:rsidRPr="00786AD7">
        <w:rPr>
          <w:b/>
          <w:bCs/>
          <w:lang w:val="en-AU"/>
        </w:rPr>
        <w:t>Wine tourism is a major economic driver, and we need to harness it</w:t>
      </w:r>
      <w:r w:rsidRPr="00786AD7">
        <w:rPr>
          <w:lang w:val="en-AU"/>
        </w:rPr>
        <w:t>. A $20 million domestic marketing campaign could drive more visitors to wine regions, boost cellar door sales, and help local economies thrive. Investing in wine tourism is a win-win for regional Australia.</w:t>
      </w:r>
    </w:p>
    <w:p w14:paraId="4C41C7C7" w14:textId="77777777" w:rsidR="00786AD7" w:rsidRPr="00786AD7" w:rsidRDefault="00786AD7" w:rsidP="00786AD7">
      <w:pPr>
        <w:pStyle w:val="AGWbodytext"/>
        <w:rPr>
          <w:lang w:val="en-AU"/>
        </w:rPr>
      </w:pPr>
      <w:r w:rsidRPr="00786AD7">
        <w:rPr>
          <w:lang w:val="en-AU"/>
        </w:rPr>
        <w:pict w14:anchorId="7C7CC770">
          <v:rect id="_x0000_i1025" style="width:0;height:1.5pt" o:hralign="center" o:hrstd="t" o:hr="t" fillcolor="#a0a0a0" stroked="f"/>
        </w:pict>
      </w:r>
    </w:p>
    <w:p w14:paraId="129A05E5" w14:textId="77777777" w:rsidR="00786AD7" w:rsidRPr="00786AD7" w:rsidRDefault="00786AD7" w:rsidP="00786AD7">
      <w:pPr>
        <w:pStyle w:val="AGWbodytext"/>
        <w:rPr>
          <w:b/>
          <w:bCs/>
          <w:lang w:val="en-AU"/>
        </w:rPr>
      </w:pPr>
      <w:r w:rsidRPr="00786AD7">
        <w:rPr>
          <w:b/>
          <w:bCs/>
          <w:lang w:val="en-AU"/>
        </w:rPr>
        <w:t>Three Key Recommendations from AGW’s Pre-Budget Submission</w:t>
      </w:r>
    </w:p>
    <w:p w14:paraId="39E0EB8C" w14:textId="77777777" w:rsidR="00786AD7" w:rsidRPr="00786AD7" w:rsidRDefault="00786AD7" w:rsidP="00786AD7">
      <w:pPr>
        <w:pStyle w:val="AGWbodytext"/>
        <w:rPr>
          <w:b/>
          <w:bCs/>
          <w:lang w:val="en-AU"/>
        </w:rPr>
      </w:pPr>
      <w:r w:rsidRPr="00786AD7">
        <w:rPr>
          <w:b/>
          <w:bCs/>
          <w:lang w:val="en-AU"/>
        </w:rPr>
        <w:t>Recommendation 1:</w:t>
      </w:r>
      <w:r w:rsidRPr="00786AD7">
        <w:rPr>
          <w:lang w:val="en-AU"/>
        </w:rPr>
        <w:t xml:space="preserve"> Invest </w:t>
      </w:r>
      <w:r w:rsidRPr="00786AD7">
        <w:rPr>
          <w:b/>
          <w:bCs/>
          <w:lang w:val="en-AU"/>
        </w:rPr>
        <w:t>$78 million over three years</w:t>
      </w:r>
      <w:r w:rsidRPr="00786AD7">
        <w:rPr>
          <w:lang w:val="en-AU"/>
        </w:rPr>
        <w:t xml:space="preserve"> in an export market stimulus to increase global market presence and reduce oversupply.</w:t>
      </w:r>
    </w:p>
    <w:p w14:paraId="04B92D09" w14:textId="77777777" w:rsidR="00786AD7" w:rsidRPr="00786AD7" w:rsidRDefault="00786AD7" w:rsidP="00786AD7">
      <w:pPr>
        <w:pStyle w:val="AGWbodytext"/>
        <w:rPr>
          <w:lang w:val="en-AU"/>
        </w:rPr>
      </w:pPr>
      <w:r w:rsidRPr="00786AD7">
        <w:rPr>
          <w:b/>
          <w:bCs/>
          <w:lang w:val="en-AU"/>
        </w:rPr>
        <w:t>Recommendation 2:</w:t>
      </w:r>
      <w:r w:rsidRPr="00786AD7">
        <w:rPr>
          <w:lang w:val="en-AU"/>
        </w:rPr>
        <w:t xml:space="preserve"> Invest </w:t>
      </w:r>
      <w:r w:rsidRPr="00786AD7">
        <w:rPr>
          <w:b/>
          <w:bCs/>
          <w:lang w:val="en-AU"/>
        </w:rPr>
        <w:t>$30 million</w:t>
      </w:r>
      <w:r w:rsidRPr="00786AD7">
        <w:rPr>
          <w:lang w:val="en-AU"/>
        </w:rPr>
        <w:t xml:space="preserve"> in a sustainability support package to prevent vineyard abandonment, biosecurity threats, and long-term land devaluation.</w:t>
      </w:r>
    </w:p>
    <w:p w14:paraId="4F015735" w14:textId="77777777" w:rsidR="00786AD7" w:rsidRPr="00786AD7" w:rsidRDefault="00786AD7" w:rsidP="00786AD7">
      <w:pPr>
        <w:pStyle w:val="AGWbodytext"/>
        <w:rPr>
          <w:lang w:val="en-AU"/>
        </w:rPr>
      </w:pPr>
      <w:r w:rsidRPr="00786AD7">
        <w:rPr>
          <w:b/>
          <w:bCs/>
          <w:lang w:val="en-AU"/>
        </w:rPr>
        <w:t>Recommendation 3:</w:t>
      </w:r>
      <w:r w:rsidRPr="00786AD7">
        <w:rPr>
          <w:lang w:val="en-AU"/>
        </w:rPr>
        <w:t xml:space="preserve"> Invest </w:t>
      </w:r>
      <w:r w:rsidRPr="00786AD7">
        <w:rPr>
          <w:b/>
          <w:bCs/>
          <w:lang w:val="en-AU"/>
        </w:rPr>
        <w:t>$20 million</w:t>
      </w:r>
      <w:r w:rsidRPr="00786AD7">
        <w:rPr>
          <w:lang w:val="en-AU"/>
        </w:rPr>
        <w:t xml:space="preserve"> in a domestic marketing campaign to drive food and wine tourism in Australia, increase domestic sales, and support regional economies.</w:t>
      </w:r>
    </w:p>
    <w:p w14:paraId="168F05C4" w14:textId="77777777" w:rsidR="00FB5622" w:rsidRDefault="00FB5622" w:rsidP="00857D1C">
      <w:pPr>
        <w:pStyle w:val="AGWbodytext"/>
      </w:pPr>
    </w:p>
    <w:p w14:paraId="404279F1" w14:textId="77777777" w:rsidR="00FB5622" w:rsidRDefault="00FB5622" w:rsidP="00857D1C">
      <w:pPr>
        <w:pStyle w:val="AGWbodytext"/>
      </w:pPr>
    </w:p>
    <w:p w14:paraId="488A9974" w14:textId="77777777" w:rsidR="00EA3C00" w:rsidRPr="00EA3C00" w:rsidRDefault="00EA3C00" w:rsidP="00EA3C00">
      <w:pPr>
        <w:pStyle w:val="AGWbodytext"/>
        <w:rPr>
          <w:lang w:val="en-AU"/>
        </w:rPr>
      </w:pPr>
      <w:hyperlink r:id="rId15" w:history="1">
        <w:r w:rsidRPr="00EA3C00">
          <w:rPr>
            <w:rStyle w:val="Hyperlink"/>
            <w:lang w:val="en-AU"/>
          </w:rPr>
          <w:t>Download a copy of the 2025-26 Australian Grape &amp; Wine Pre-Budget Submission.</w:t>
        </w:r>
      </w:hyperlink>
    </w:p>
    <w:p w14:paraId="1140510B" w14:textId="77777777" w:rsidR="00FB5622" w:rsidRPr="00857D1C" w:rsidRDefault="00FB5622" w:rsidP="00857D1C">
      <w:pPr>
        <w:pStyle w:val="AGWbodytext"/>
      </w:pPr>
    </w:p>
    <w:sectPr w:rsidR="00FB5622" w:rsidRPr="00857D1C" w:rsidSect="00E10AAF">
      <w:headerReference w:type="first" r:id="rId16"/>
      <w:type w:val="continuous"/>
      <w:pgSz w:w="11900" w:h="16840"/>
      <w:pgMar w:top="1905" w:right="703" w:bottom="1440" w:left="714" w:header="709" w:footer="125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3013A" w14:textId="77777777" w:rsidR="001B6124" w:rsidRDefault="001B6124">
      <w:r>
        <w:separator/>
      </w:r>
    </w:p>
  </w:endnote>
  <w:endnote w:type="continuationSeparator" w:id="0">
    <w:p w14:paraId="5F50CF9C" w14:textId="77777777" w:rsidR="001B6124" w:rsidRDefault="001B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Bembo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charset w:val="00"/>
    <w:family w:val="auto"/>
    <w:pitch w:val="variable"/>
    <w:sig w:usb0="E00002FF" w:usb1="5000205A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Garamon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Garamon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524389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25365A" w14:textId="0F8FE260" w:rsidR="00E33CAB" w:rsidRDefault="00E33CAB" w:rsidP="004723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D99491" w14:textId="77777777" w:rsidR="00E33CAB" w:rsidRDefault="00E33CAB" w:rsidP="00E33C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1AE39" w14:textId="6080811D" w:rsidR="004655B6" w:rsidRDefault="002276D3" w:rsidP="00E33CAB">
    <w:pPr>
      <w:pStyle w:val="Footer"/>
      <w:ind w:right="360"/>
    </w:pPr>
    <w:r>
      <w:rPr>
        <w:noProof/>
        <w:lang w:val="en-AU" w:eastAsia="en-AU"/>
      </w:rPr>
      <w:drawing>
        <wp:anchor distT="0" distB="0" distL="114300" distR="114300" simplePos="0" relativeHeight="251687424" behindDoc="1" locked="0" layoutInCell="1" allowOverlap="1" wp14:anchorId="3CE61465" wp14:editId="15C9E9AF">
          <wp:simplePos x="0" y="0"/>
          <wp:positionH relativeFrom="page">
            <wp:posOffset>0</wp:posOffset>
          </wp:positionH>
          <wp:positionV relativeFrom="page">
            <wp:posOffset>9960922</wp:posOffset>
          </wp:positionV>
          <wp:extent cx="7498080" cy="729938"/>
          <wp:effectExtent l="0" t="0" r="0" b="0"/>
          <wp:wrapNone/>
          <wp:docPr id="87" name="Pictur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W_VC-report-final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762" cy="738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B3D8A" w14:textId="7CAAFFB4" w:rsidR="00676888" w:rsidRDefault="009567AA" w:rsidP="00A94498">
    <w:pPr>
      <w:pStyle w:val="Footer"/>
      <w:ind w:right="360"/>
    </w:pPr>
    <w:r>
      <w:rPr>
        <w:noProof/>
        <w:lang w:val="en-AU" w:eastAsia="en-AU"/>
      </w:rPr>
      <w:drawing>
        <wp:anchor distT="0" distB="0" distL="114300" distR="114300" simplePos="0" relativeHeight="251689472" behindDoc="1" locked="0" layoutInCell="1" allowOverlap="1" wp14:anchorId="47208BE2" wp14:editId="346C1E19">
          <wp:simplePos x="0" y="0"/>
          <wp:positionH relativeFrom="page">
            <wp:posOffset>19685</wp:posOffset>
          </wp:positionH>
          <wp:positionV relativeFrom="page">
            <wp:posOffset>10096500</wp:posOffset>
          </wp:positionV>
          <wp:extent cx="7498080" cy="729938"/>
          <wp:effectExtent l="0" t="0" r="0" b="0"/>
          <wp:wrapNone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W_VC-report-final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080" cy="729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094A9" w14:textId="77777777" w:rsidR="001B6124" w:rsidRDefault="001B6124">
      <w:r>
        <w:separator/>
      </w:r>
    </w:p>
  </w:footnote>
  <w:footnote w:type="continuationSeparator" w:id="0">
    <w:p w14:paraId="5540B7F2" w14:textId="77777777" w:rsidR="001B6124" w:rsidRDefault="001B6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51465" w14:textId="7364392F" w:rsidR="00676888" w:rsidRDefault="00116FAB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84352" behindDoc="1" locked="0" layoutInCell="1" allowOverlap="1" wp14:anchorId="66F2A8E6" wp14:editId="4D572736">
          <wp:simplePos x="0" y="0"/>
          <wp:positionH relativeFrom="page">
            <wp:posOffset>-151392</wp:posOffset>
          </wp:positionH>
          <wp:positionV relativeFrom="page">
            <wp:posOffset>-154940</wp:posOffset>
          </wp:positionV>
          <wp:extent cx="2007095" cy="1075764"/>
          <wp:effectExtent l="0" t="0" r="0" b="3810"/>
          <wp:wrapNone/>
          <wp:docPr id="86" name="Pictur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W_VC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095" cy="107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86084" w14:textId="53CF5343" w:rsidR="00676888" w:rsidRDefault="002276D3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86400" behindDoc="1" locked="0" layoutInCell="1" allowOverlap="1" wp14:anchorId="53BA1046" wp14:editId="56074C0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16495" cy="982155"/>
          <wp:effectExtent l="0" t="0" r="1905" b="0"/>
          <wp:wrapNone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W_VC-report-inn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530" cy="990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35E72" w14:textId="4323BF81" w:rsidR="00BC6F3B" w:rsidRDefault="00F9122B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5920" behindDoc="1" locked="0" layoutInCell="1" allowOverlap="1" wp14:anchorId="4D76A303" wp14:editId="6970BE6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960" cy="980751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GW_WC-report-inn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313" cy="1003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6BA9"/>
    <w:multiLevelType w:val="hybridMultilevel"/>
    <w:tmpl w:val="F2F667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6641D"/>
    <w:multiLevelType w:val="hybridMultilevel"/>
    <w:tmpl w:val="F35A8EA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70079">
    <w:abstractNumId w:val="0"/>
  </w:num>
  <w:num w:numId="2" w16cid:durableId="748576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5C"/>
    <w:rsid w:val="00065A4F"/>
    <w:rsid w:val="00077982"/>
    <w:rsid w:val="0009665C"/>
    <w:rsid w:val="000D6023"/>
    <w:rsid w:val="00116FAB"/>
    <w:rsid w:val="001B6124"/>
    <w:rsid w:val="002276D3"/>
    <w:rsid w:val="00271C7A"/>
    <w:rsid w:val="00372096"/>
    <w:rsid w:val="00413945"/>
    <w:rsid w:val="00450E57"/>
    <w:rsid w:val="004655B6"/>
    <w:rsid w:val="004B052B"/>
    <w:rsid w:val="00590B98"/>
    <w:rsid w:val="005C31B0"/>
    <w:rsid w:val="005D1C11"/>
    <w:rsid w:val="005E62D7"/>
    <w:rsid w:val="00676888"/>
    <w:rsid w:val="00706E55"/>
    <w:rsid w:val="0073222E"/>
    <w:rsid w:val="0076315A"/>
    <w:rsid w:val="00786AD7"/>
    <w:rsid w:val="007E52F2"/>
    <w:rsid w:val="00821B65"/>
    <w:rsid w:val="00834CC5"/>
    <w:rsid w:val="00857D1C"/>
    <w:rsid w:val="00892903"/>
    <w:rsid w:val="009567AA"/>
    <w:rsid w:val="00A01CFF"/>
    <w:rsid w:val="00A94498"/>
    <w:rsid w:val="00A96F19"/>
    <w:rsid w:val="00AE7613"/>
    <w:rsid w:val="00AF2AD9"/>
    <w:rsid w:val="00B770B8"/>
    <w:rsid w:val="00BC6F3B"/>
    <w:rsid w:val="00C03AEE"/>
    <w:rsid w:val="00D06A71"/>
    <w:rsid w:val="00DB6DE2"/>
    <w:rsid w:val="00E10AAF"/>
    <w:rsid w:val="00E33CAB"/>
    <w:rsid w:val="00E378FD"/>
    <w:rsid w:val="00E419A1"/>
    <w:rsid w:val="00E5686C"/>
    <w:rsid w:val="00E65CAC"/>
    <w:rsid w:val="00EA3C00"/>
    <w:rsid w:val="00F04F87"/>
    <w:rsid w:val="00F7153B"/>
    <w:rsid w:val="00F9122B"/>
    <w:rsid w:val="00F97C79"/>
    <w:rsid w:val="00FB5622"/>
    <w:rsid w:val="00FC2A8D"/>
    <w:rsid w:val="00FE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4D57647"/>
  <w15:chartTrackingRefBased/>
  <w15:docId w15:val="{414EA460-5E32-CA48-A1F0-638BA596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F0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65C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9665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9665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09665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09665C"/>
    <w:rPr>
      <w:rFonts w:ascii="Calibri" w:eastAsia="Times New Roman" w:hAnsi="Calibri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09665C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BodyText1">
    <w:name w:val="Body Text1"/>
    <w:basedOn w:val="Normal"/>
    <w:uiPriority w:val="99"/>
    <w:rsid w:val="0009665C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MBembo" w:hAnsi="MBembo" w:cs="MBembo"/>
      <w:color w:val="5C113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66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65C"/>
  </w:style>
  <w:style w:type="paragraph" w:styleId="Footer">
    <w:name w:val="footer"/>
    <w:basedOn w:val="Normal"/>
    <w:link w:val="FooterChar"/>
    <w:uiPriority w:val="99"/>
    <w:unhideWhenUsed/>
    <w:rsid w:val="000966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65C"/>
  </w:style>
  <w:style w:type="paragraph" w:customStyle="1" w:styleId="BasicParagraph">
    <w:name w:val="[Basic Paragraph]"/>
    <w:basedOn w:val="Normal"/>
    <w:uiPriority w:val="99"/>
    <w:rsid w:val="002424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A94498"/>
  </w:style>
  <w:style w:type="paragraph" w:styleId="NormalWeb">
    <w:name w:val="Normal (Web)"/>
    <w:basedOn w:val="Normal"/>
    <w:uiPriority w:val="99"/>
    <w:semiHidden/>
    <w:unhideWhenUsed/>
    <w:rsid w:val="00AF2AD9"/>
    <w:pPr>
      <w:spacing w:before="100" w:beforeAutospacing="1" w:after="100" w:afterAutospacing="1"/>
    </w:pPr>
    <w:rPr>
      <w:rFonts w:ascii="Times New Roman" w:eastAsiaTheme="minorEastAsia" w:hAnsi="Times New Roman"/>
      <w:lang w:val="en-AU"/>
    </w:rPr>
  </w:style>
  <w:style w:type="paragraph" w:customStyle="1" w:styleId="AGWtitletext">
    <w:name w:val="AGW title text"/>
    <w:basedOn w:val="BodyText1"/>
    <w:qFormat/>
    <w:rsid w:val="00F7153B"/>
    <w:pPr>
      <w:spacing w:after="120"/>
    </w:pPr>
    <w:rPr>
      <w:rFonts w:ascii="Montserrat" w:hAnsi="Montserrat" w:cs="AGaramondPro-Bold"/>
      <w:b/>
      <w:bCs/>
      <w:color w:val="8DC63F"/>
      <w:sz w:val="40"/>
      <w:szCs w:val="18"/>
    </w:rPr>
  </w:style>
  <w:style w:type="paragraph" w:customStyle="1" w:styleId="AGWbodytext">
    <w:name w:val="AGW body text"/>
    <w:basedOn w:val="BodyText1"/>
    <w:qFormat/>
    <w:rsid w:val="00857D1C"/>
    <w:pPr>
      <w:spacing w:after="120"/>
    </w:pPr>
    <w:rPr>
      <w:rFonts w:ascii="Gadugi" w:hAnsi="Gadugi" w:cs="AGaramondPro-Regular"/>
      <w:color w:val="000000"/>
      <w:sz w:val="21"/>
      <w:szCs w:val="18"/>
    </w:rPr>
  </w:style>
  <w:style w:type="paragraph" w:customStyle="1" w:styleId="Subtext">
    <w:name w:val="Sub text"/>
    <w:basedOn w:val="AGWbodytext"/>
    <w:qFormat/>
    <w:rsid w:val="00FC2A8D"/>
    <w:rPr>
      <w:rFonts w:ascii="Montserrat" w:hAnsi="Montserrat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31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agw.org.au/wp-content/uploads/2025/01/AGW-2025-26-Pre-Budget-Submission_FINAL.pdf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CEFF1A75D544898BA129181709402" ma:contentTypeVersion="15" ma:contentTypeDescription="Create a new document." ma:contentTypeScope="" ma:versionID="4fa77741e2eb2b3d4df6499d6598afbd">
  <xsd:schema xmlns:xsd="http://www.w3.org/2001/XMLSchema" xmlns:xs="http://www.w3.org/2001/XMLSchema" xmlns:p="http://schemas.microsoft.com/office/2006/metadata/properties" xmlns:ns2="af29d3b3-b23d-4831-98df-4ada9f9d6676" xmlns:ns3="1aed36d5-a635-417f-9fc4-45d3b44f013e" targetNamespace="http://schemas.microsoft.com/office/2006/metadata/properties" ma:root="true" ma:fieldsID="823f157e3fa518bf20aa33d16f02f224" ns2:_="" ns3:_="">
    <xsd:import namespace="af29d3b3-b23d-4831-98df-4ada9f9d6676"/>
    <xsd:import namespace="1aed36d5-a635-417f-9fc4-45d3b44f013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9d3b3-b23d-4831-98df-4ada9f9d667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d166e63-9a06-4fc5-91dc-d4b0cb482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d36d5-a635-417f-9fc4-45d3b44f01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d0f734-a146-459b-8cce-7dbb117f402f}" ma:internalName="TaxCatchAll" ma:showField="CatchAllData" ma:web="1aed36d5-a635-417f-9fc4-45d3b44f0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9d3b3-b23d-4831-98df-4ada9f9d6676">
      <Terms xmlns="http://schemas.microsoft.com/office/infopath/2007/PartnerControls"/>
    </lcf76f155ced4ddcb4097134ff3c332f>
    <TaxCatchAll xmlns="1aed36d5-a635-417f-9fc4-45d3b44f013e" xsi:nil="true"/>
  </documentManagement>
</p:properties>
</file>

<file path=customXml/itemProps1.xml><?xml version="1.0" encoding="utf-8"?>
<ds:datastoreItem xmlns:ds="http://schemas.openxmlformats.org/officeDocument/2006/customXml" ds:itemID="{1E194DA3-9731-4AE3-B423-E0E571759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9d3b3-b23d-4831-98df-4ada9f9d6676"/>
    <ds:schemaRef ds:uri="1aed36d5-a635-417f-9fc4-45d3b44f0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4470DA-3821-40BC-9EB2-9CF5E9E56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1829A-1975-44A8-B040-2F2D41CF8574}">
  <ds:schemaRefs>
    <ds:schemaRef ds:uri="http://schemas.microsoft.com/office/2006/metadata/properties"/>
    <ds:schemaRef ds:uri="http://schemas.microsoft.com/office/infopath/2007/PartnerControls"/>
    <ds:schemaRef ds:uri="af29d3b3-b23d-4831-98df-4ada9f9d6676"/>
    <ds:schemaRef ds:uri="1aed36d5-a635-417f-9fc4-45d3b44f01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EnvyUs Design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Suzanne Green</dc:creator>
  <cp:keywords/>
  <cp:lastModifiedBy>Ali Laslett</cp:lastModifiedBy>
  <cp:revision>5</cp:revision>
  <dcterms:created xsi:type="dcterms:W3CDTF">2025-02-18T23:02:00Z</dcterms:created>
  <dcterms:modified xsi:type="dcterms:W3CDTF">2025-02-18T23:03:00Z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0x010100E3CCEFF1A75D544898BA129181709402</vt:lpwstr>
  </property>
  <property fmtid="{D5CDD505-2E9C-101B-9397-08002B2CF9AE}" pid="3" name="Order">
    <vt:r8>329600</vt:r8>
  </property>
  <property fmtid="{D5CDD505-2E9C-101B-9397-08002B2CF9AE}" pid="4" name="MediaServiceImageTags">
    <vt:lpwstr/>
  </property>
</Properties>
</file>